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2375" w14:textId="493F9BCB" w:rsidR="002D6171" w:rsidRDefault="00B66992" w:rsidP="002D6171">
      <w:pPr>
        <w:jc w:val="center"/>
        <w:rPr>
          <w:b/>
          <w:sz w:val="24"/>
        </w:rPr>
      </w:pPr>
      <w:r>
        <w:rPr>
          <w:b/>
          <w:sz w:val="24"/>
        </w:rPr>
        <w:t xml:space="preserve">Apprenticeship Programs at SUNY </w:t>
      </w:r>
      <w:r w:rsidR="002D6171">
        <w:rPr>
          <w:b/>
          <w:sz w:val="24"/>
        </w:rPr>
        <w:t>Agreement Amendment</w:t>
      </w:r>
    </w:p>
    <w:p w14:paraId="403123B9" w14:textId="77777777" w:rsidR="00295E88" w:rsidRDefault="00295E88" w:rsidP="002D6171">
      <w:pPr>
        <w:jc w:val="center"/>
        <w:rPr>
          <w:b/>
          <w:sz w:val="24"/>
        </w:rPr>
      </w:pPr>
    </w:p>
    <w:p w14:paraId="3B2C73F6" w14:textId="77777777" w:rsidR="00DF37DA" w:rsidRPr="00DF37DA" w:rsidRDefault="00295E88" w:rsidP="00DF37DA">
      <w:pPr>
        <w:jc w:val="center"/>
        <w:rPr>
          <w:b/>
        </w:rPr>
      </w:pPr>
      <w:r w:rsidRPr="00DF37DA">
        <w:rPr>
          <w:b/>
        </w:rPr>
        <w:t>Request for Additional Funds for Related Instruction for Existing Apprentices</w:t>
      </w:r>
    </w:p>
    <w:p w14:paraId="67C4EE35" w14:textId="336983FA" w:rsidR="00295E88" w:rsidRPr="00DF37DA" w:rsidRDefault="00295E88" w:rsidP="00DF37DA">
      <w:pPr>
        <w:jc w:val="center"/>
        <w:rPr>
          <w:b/>
        </w:rPr>
      </w:pPr>
    </w:p>
    <w:p w14:paraId="321553EF" w14:textId="34B8F8AE" w:rsidR="00F350F4" w:rsidRDefault="00C67DEE" w:rsidP="002D6171">
      <w:pPr>
        <w:jc w:val="center"/>
      </w:pPr>
      <w:r>
        <w:t>Th</w:t>
      </w:r>
      <w:r w:rsidR="00B66992">
        <w:t>e college is requesting</w:t>
      </w:r>
      <w:r>
        <w:t xml:space="preserve"> additional funding for active </w:t>
      </w:r>
      <w:r w:rsidR="00B66992">
        <w:t>Registered A</w:t>
      </w:r>
      <w:r>
        <w:t xml:space="preserve">pprentices approved before the April 1, </w:t>
      </w:r>
      <w:proofErr w:type="gramStart"/>
      <w:r>
        <w:t>2024</w:t>
      </w:r>
      <w:proofErr w:type="gramEnd"/>
      <w:r>
        <w:t xml:space="preserve"> </w:t>
      </w:r>
      <w:r w:rsidR="00276AF0">
        <w:t xml:space="preserve">Related Instruction funding increase </w:t>
      </w:r>
      <w:r w:rsidR="00B66992">
        <w:t>from $5,000 to $6,000/$8,000</w:t>
      </w:r>
      <w:r>
        <w:t xml:space="preserve"> </w:t>
      </w:r>
      <w:r w:rsidR="00B66992">
        <w:t xml:space="preserve">as outlined in </w:t>
      </w:r>
      <w:r w:rsidR="00F350F4">
        <w:t>t</w:t>
      </w:r>
      <w:r w:rsidR="00B66992">
        <w:t>he Funding Guidelines</w:t>
      </w:r>
      <w:r w:rsidR="00F350F4">
        <w:t xml:space="preserve"> with a</w:t>
      </w:r>
      <w:r w:rsidR="00276AF0">
        <w:t>n</w:t>
      </w:r>
      <w:r w:rsidR="00F350F4">
        <w:t xml:space="preserve"> updated date of </w:t>
      </w:r>
      <w:r w:rsidR="008A49B9">
        <w:rPr>
          <w:color w:val="FF0000"/>
        </w:rPr>
        <w:t>________</w:t>
      </w:r>
      <w:r w:rsidR="00F350F4" w:rsidRPr="00F350F4">
        <w:rPr>
          <w:color w:val="FF0000"/>
        </w:rPr>
        <w:t>,</w:t>
      </w:r>
      <w:r w:rsidR="00276AF0">
        <w:rPr>
          <w:color w:val="FF0000"/>
        </w:rPr>
        <w:t xml:space="preserve"> </w:t>
      </w:r>
      <w:r w:rsidR="008A49B9">
        <w:rPr>
          <w:color w:val="FF0000"/>
        </w:rPr>
        <w:t>_________</w:t>
      </w:r>
      <w:r w:rsidR="00B66992">
        <w:t xml:space="preserve">.  </w:t>
      </w:r>
      <w:r w:rsidR="00E04F27">
        <w:t xml:space="preserve">Active </w:t>
      </w:r>
      <w:r w:rsidR="00B66992">
        <w:t>Registered Apprentices</w:t>
      </w:r>
      <w:r w:rsidR="00A50DCA">
        <w:t>*</w:t>
      </w:r>
      <w:r w:rsidR="00F350F4">
        <w:t xml:space="preserve"> named</w:t>
      </w:r>
      <w:r w:rsidR="00B66992">
        <w:t xml:space="preserve"> </w:t>
      </w:r>
      <w:r w:rsidR="00295E88">
        <w:t xml:space="preserve">below </w:t>
      </w:r>
      <w:r>
        <w:t xml:space="preserve">require additional </w:t>
      </w:r>
      <w:r w:rsidR="00DC183C">
        <w:t>funds to</w:t>
      </w:r>
      <w:r>
        <w:t xml:space="preserve"> complete </w:t>
      </w:r>
      <w:r w:rsidR="00F350F4">
        <w:t>required</w:t>
      </w:r>
      <w:r>
        <w:t xml:space="preserve"> </w:t>
      </w:r>
      <w:r w:rsidR="00B66992">
        <w:t>R</w:t>
      </w:r>
      <w:r>
        <w:t xml:space="preserve">elated </w:t>
      </w:r>
      <w:r w:rsidR="00B66992">
        <w:t>I</w:t>
      </w:r>
      <w:r>
        <w:t xml:space="preserve">nstruction. </w:t>
      </w:r>
      <w:r w:rsidR="00F350F4">
        <w:t>The college understands that f</w:t>
      </w:r>
      <w:r>
        <w:t xml:space="preserve">unding may be requested </w:t>
      </w:r>
      <w:r w:rsidR="00F350F4">
        <w:t xml:space="preserve">only </w:t>
      </w:r>
      <w:r>
        <w:t xml:space="preserve">for individuals </w:t>
      </w:r>
      <w:r w:rsidR="00295E88">
        <w:t>tied to an open agreement</w:t>
      </w:r>
      <w:r w:rsidR="00276AF0">
        <w:t>,</w:t>
      </w:r>
      <w:r w:rsidR="00295E88">
        <w:t xml:space="preserve"> </w:t>
      </w:r>
      <w:r w:rsidR="00F350F4">
        <w:t>executed prior to April 1, 2024</w:t>
      </w:r>
      <w:r w:rsidR="00276AF0">
        <w:t>,</w:t>
      </w:r>
      <w:r w:rsidR="00F350F4">
        <w:t xml:space="preserve"> </w:t>
      </w:r>
      <w:r w:rsidR="00295E88">
        <w:t xml:space="preserve">in which </w:t>
      </w:r>
      <w:r>
        <w:t xml:space="preserve">all invoicing is currently up to date. </w:t>
      </w:r>
    </w:p>
    <w:p w14:paraId="31FE64FA" w14:textId="6180594E" w:rsidR="00F350F4" w:rsidRPr="003E7C60" w:rsidRDefault="00A50DCA" w:rsidP="002D6171">
      <w:pPr>
        <w:jc w:val="center"/>
        <w:rPr>
          <w:i/>
          <w:iCs/>
          <w:sz w:val="20"/>
          <w:szCs w:val="20"/>
        </w:rPr>
      </w:pPr>
      <w:r w:rsidRPr="003E7C60">
        <w:rPr>
          <w:i/>
          <w:iCs/>
          <w:sz w:val="20"/>
          <w:szCs w:val="20"/>
        </w:rPr>
        <w:t>*</w:t>
      </w:r>
      <w:r w:rsidR="003E7C60" w:rsidRPr="003E7C60">
        <w:rPr>
          <w:b/>
          <w:bCs/>
          <w:i/>
          <w:iCs/>
          <w:sz w:val="20"/>
          <w:szCs w:val="20"/>
        </w:rPr>
        <w:t>Active Registered Apprentices</w:t>
      </w:r>
      <w:r w:rsidRPr="003E7C60">
        <w:rPr>
          <w:i/>
          <w:iCs/>
          <w:sz w:val="20"/>
          <w:szCs w:val="20"/>
        </w:rPr>
        <w:t xml:space="preserve">- </w:t>
      </w:r>
      <w:r w:rsidR="003E7C60" w:rsidRPr="003E7C60">
        <w:rPr>
          <w:i/>
          <w:iCs/>
          <w:sz w:val="20"/>
          <w:szCs w:val="20"/>
        </w:rPr>
        <w:t>NYSDOL verified apprentices with intakes</w:t>
      </w:r>
      <w:r w:rsidRPr="003E7C60">
        <w:rPr>
          <w:i/>
          <w:iCs/>
          <w:sz w:val="20"/>
          <w:szCs w:val="20"/>
        </w:rPr>
        <w:t xml:space="preserve"> </w:t>
      </w:r>
      <w:r w:rsidR="003E7C60" w:rsidRPr="003E7C60">
        <w:rPr>
          <w:i/>
          <w:iCs/>
          <w:sz w:val="20"/>
          <w:szCs w:val="20"/>
        </w:rPr>
        <w:t>that have been</w:t>
      </w:r>
      <w:r w:rsidRPr="003E7C60">
        <w:rPr>
          <w:i/>
          <w:iCs/>
          <w:sz w:val="20"/>
          <w:szCs w:val="20"/>
        </w:rPr>
        <w:t xml:space="preserve"> </w:t>
      </w:r>
      <w:r w:rsidR="00B3599A" w:rsidRPr="003E7C60">
        <w:rPr>
          <w:i/>
          <w:iCs/>
          <w:sz w:val="20"/>
          <w:szCs w:val="20"/>
        </w:rPr>
        <w:t>received and processed by SUNY before April 1, 2024</w:t>
      </w:r>
      <w:r w:rsidRPr="003E7C60">
        <w:rPr>
          <w:i/>
          <w:iCs/>
          <w:sz w:val="20"/>
          <w:szCs w:val="20"/>
        </w:rPr>
        <w:t xml:space="preserve">. Apprentices must only have </w:t>
      </w:r>
      <w:r w:rsidR="004428A4">
        <w:rPr>
          <w:i/>
          <w:iCs/>
          <w:sz w:val="20"/>
          <w:szCs w:val="20"/>
        </w:rPr>
        <w:t>$</w:t>
      </w:r>
      <w:r w:rsidRPr="003E7C60">
        <w:rPr>
          <w:i/>
          <w:iCs/>
          <w:sz w:val="20"/>
          <w:szCs w:val="20"/>
        </w:rPr>
        <w:t xml:space="preserve">1,000 or less available for RI to be eligible for increase. </w:t>
      </w:r>
    </w:p>
    <w:p w14:paraId="48B74A15" w14:textId="2907AA9D" w:rsidR="00C67DEE" w:rsidRPr="003E7C60" w:rsidRDefault="009F2B29" w:rsidP="002D6171">
      <w:pPr>
        <w:jc w:val="center"/>
        <w:rPr>
          <w:sz w:val="20"/>
          <w:szCs w:val="20"/>
        </w:rPr>
      </w:pPr>
      <w:r w:rsidRPr="003E7C60">
        <w:rPr>
          <w:sz w:val="20"/>
          <w:szCs w:val="20"/>
        </w:rPr>
        <w:t>For information on amount</w:t>
      </w:r>
      <w:r w:rsidR="00F350F4" w:rsidRPr="003E7C60">
        <w:rPr>
          <w:sz w:val="20"/>
          <w:szCs w:val="20"/>
        </w:rPr>
        <w:t xml:space="preserve"> available for Related Instruction per </w:t>
      </w:r>
      <w:r w:rsidRPr="003E7C60">
        <w:rPr>
          <w:sz w:val="20"/>
          <w:szCs w:val="20"/>
        </w:rPr>
        <w:t>trade</w:t>
      </w:r>
      <w:r w:rsidR="00F350F4" w:rsidRPr="003E7C60">
        <w:rPr>
          <w:sz w:val="20"/>
          <w:szCs w:val="20"/>
        </w:rPr>
        <w:t xml:space="preserve"> title</w:t>
      </w:r>
      <w:r w:rsidRPr="003E7C60">
        <w:rPr>
          <w:sz w:val="20"/>
          <w:szCs w:val="20"/>
        </w:rPr>
        <w:t>, r</w:t>
      </w:r>
      <w:r w:rsidR="00DC183C" w:rsidRPr="003E7C60">
        <w:rPr>
          <w:sz w:val="20"/>
          <w:szCs w:val="20"/>
        </w:rPr>
        <w:t xml:space="preserve">efer to the chart at the following link: </w:t>
      </w:r>
      <w:hyperlink r:id="rId7" w:history="1">
        <w:r w:rsidR="00DC183C" w:rsidRPr="003E7C60">
          <w:rPr>
            <w:rStyle w:val="Hyperlink"/>
            <w:sz w:val="20"/>
            <w:szCs w:val="20"/>
          </w:rPr>
          <w:t>Trades and Amounts</w:t>
        </w:r>
      </w:hyperlink>
      <w:r w:rsidRPr="003E7C60">
        <w:rPr>
          <w:sz w:val="20"/>
          <w:szCs w:val="20"/>
        </w:rPr>
        <w:t xml:space="preserve">. </w:t>
      </w:r>
    </w:p>
    <w:p w14:paraId="2EF28100" w14:textId="77777777" w:rsidR="002D6171" w:rsidRDefault="002D6171" w:rsidP="002D6171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350F4" w14:paraId="5DA30420" w14:textId="77777777" w:rsidTr="002D6171">
        <w:tc>
          <w:tcPr>
            <w:tcW w:w="2785" w:type="dxa"/>
          </w:tcPr>
          <w:p w14:paraId="284BA409" w14:textId="319307A6" w:rsidR="00F350F4" w:rsidRDefault="00F350F4" w:rsidP="002D61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College Name</w:t>
            </w:r>
          </w:p>
        </w:tc>
        <w:tc>
          <w:tcPr>
            <w:tcW w:w="6565" w:type="dxa"/>
          </w:tcPr>
          <w:p w14:paraId="78E0A83C" w14:textId="77777777" w:rsidR="00F350F4" w:rsidRDefault="00F350F4" w:rsidP="002D6171">
            <w:pPr>
              <w:rPr>
                <w:b/>
                <w:sz w:val="24"/>
              </w:rPr>
            </w:pPr>
          </w:p>
        </w:tc>
      </w:tr>
      <w:tr w:rsidR="00F350F4" w14:paraId="03255851" w14:textId="77777777" w:rsidTr="002D6171">
        <w:tc>
          <w:tcPr>
            <w:tcW w:w="2785" w:type="dxa"/>
          </w:tcPr>
          <w:p w14:paraId="51E2230E" w14:textId="23709864" w:rsidR="00F350F4" w:rsidRDefault="00F350F4" w:rsidP="002D61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Agreement #</w:t>
            </w:r>
          </w:p>
        </w:tc>
        <w:tc>
          <w:tcPr>
            <w:tcW w:w="6565" w:type="dxa"/>
          </w:tcPr>
          <w:p w14:paraId="6B67AB59" w14:textId="77777777" w:rsidR="00F350F4" w:rsidRDefault="00F350F4" w:rsidP="002D6171">
            <w:pPr>
              <w:rPr>
                <w:b/>
                <w:sz w:val="24"/>
              </w:rPr>
            </w:pPr>
          </w:p>
        </w:tc>
      </w:tr>
    </w:tbl>
    <w:p w14:paraId="4017276F" w14:textId="77777777" w:rsidR="004428A4" w:rsidRDefault="004428A4" w:rsidP="004428A4">
      <w:pPr>
        <w:rPr>
          <w:bCs/>
          <w:i/>
          <w:iCs/>
          <w:sz w:val="20"/>
          <w:szCs w:val="20"/>
        </w:rPr>
      </w:pPr>
    </w:p>
    <w:p w14:paraId="7F8A1122" w14:textId="605BE2C2" w:rsidR="002D6171" w:rsidRPr="001F0FDE" w:rsidRDefault="001F0FDE" w:rsidP="004428A4">
      <w:pPr>
        <w:rPr>
          <w:bCs/>
          <w:i/>
          <w:iCs/>
          <w:sz w:val="20"/>
          <w:szCs w:val="20"/>
        </w:rPr>
      </w:pPr>
      <w:r w:rsidRPr="001F0FDE">
        <w:rPr>
          <w:bCs/>
          <w:i/>
          <w:iCs/>
          <w:sz w:val="20"/>
          <w:szCs w:val="20"/>
        </w:rPr>
        <w:t>*Add additional lines below as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2318"/>
        <w:gridCol w:w="2408"/>
        <w:gridCol w:w="2124"/>
      </w:tblGrid>
      <w:tr w:rsidR="00F350F4" w14:paraId="7794FB80" w14:textId="2591C1FB" w:rsidTr="00276AF0">
        <w:tc>
          <w:tcPr>
            <w:tcW w:w="2500" w:type="dxa"/>
            <w:vMerge w:val="restart"/>
            <w:vAlign w:val="bottom"/>
          </w:tcPr>
          <w:p w14:paraId="6EC04720" w14:textId="77E27DE5" w:rsidR="00F350F4" w:rsidRDefault="00276AF0" w:rsidP="00F350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Registered </w:t>
            </w:r>
            <w:r w:rsidR="00F350F4">
              <w:rPr>
                <w:b/>
                <w:sz w:val="24"/>
              </w:rPr>
              <w:t>Apprentice Name</w:t>
            </w:r>
          </w:p>
        </w:tc>
        <w:tc>
          <w:tcPr>
            <w:tcW w:w="2318" w:type="dxa"/>
            <w:vMerge w:val="restart"/>
            <w:vAlign w:val="bottom"/>
          </w:tcPr>
          <w:p w14:paraId="6175878A" w14:textId="258D7678" w:rsidR="00F350F4" w:rsidRDefault="00F350F4" w:rsidP="00F350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Trade Title</w:t>
            </w:r>
          </w:p>
        </w:tc>
        <w:tc>
          <w:tcPr>
            <w:tcW w:w="4532" w:type="dxa"/>
            <w:gridSpan w:val="2"/>
          </w:tcPr>
          <w:p w14:paraId="63CB735A" w14:textId="5817DAEC" w:rsidR="00F350F4" w:rsidRPr="00276AF0" w:rsidRDefault="00F350F4" w:rsidP="00C67DEE">
            <w:pPr>
              <w:jc w:val="center"/>
              <w:rPr>
                <w:b/>
                <w:sz w:val="18"/>
                <w:szCs w:val="18"/>
              </w:rPr>
            </w:pPr>
            <w:r w:rsidRPr="00276AF0">
              <w:rPr>
                <w:b/>
                <w:sz w:val="18"/>
                <w:szCs w:val="18"/>
              </w:rPr>
              <w:t>Enter amount requested in the correct column to identify amount requested per Registered Apprentice.</w:t>
            </w:r>
          </w:p>
        </w:tc>
      </w:tr>
      <w:tr w:rsidR="00F350F4" w14:paraId="2FBB30A5" w14:textId="0F15343E" w:rsidTr="00012E14">
        <w:tc>
          <w:tcPr>
            <w:tcW w:w="2500" w:type="dxa"/>
            <w:vMerge/>
          </w:tcPr>
          <w:p w14:paraId="29814E6B" w14:textId="590AB2A0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  <w:vMerge/>
          </w:tcPr>
          <w:p w14:paraId="60AA2E85" w14:textId="62B3C4B0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7BC78160" w14:textId="4858D87E" w:rsidR="00F350F4" w:rsidRDefault="00F350F4" w:rsidP="00F350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$1,000 </w:t>
            </w:r>
          </w:p>
        </w:tc>
        <w:tc>
          <w:tcPr>
            <w:tcW w:w="2124" w:type="dxa"/>
          </w:tcPr>
          <w:p w14:paraId="3B81DB42" w14:textId="13764094" w:rsidR="00F350F4" w:rsidRDefault="00F350F4" w:rsidP="00F350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$3,000</w:t>
            </w:r>
          </w:p>
        </w:tc>
      </w:tr>
      <w:tr w:rsidR="00F350F4" w14:paraId="095AAD38" w14:textId="7FC5374F" w:rsidTr="00012E14">
        <w:tc>
          <w:tcPr>
            <w:tcW w:w="2500" w:type="dxa"/>
          </w:tcPr>
          <w:p w14:paraId="3B45EBA7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046E4AFA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163EFC1D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4BE7C4B7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5421B3A6" w14:textId="1572736E" w:rsidTr="00012E14">
        <w:tc>
          <w:tcPr>
            <w:tcW w:w="2500" w:type="dxa"/>
          </w:tcPr>
          <w:p w14:paraId="76B3F829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71442D49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5F8A350A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62C2F95B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6BA4C677" w14:textId="6CE51350" w:rsidTr="00012E14">
        <w:tc>
          <w:tcPr>
            <w:tcW w:w="2500" w:type="dxa"/>
          </w:tcPr>
          <w:p w14:paraId="2BF5BA2D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0CF42625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0D680C19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2B22DC8C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630E725F" w14:textId="7373C3B1" w:rsidTr="00012E14">
        <w:tc>
          <w:tcPr>
            <w:tcW w:w="2500" w:type="dxa"/>
          </w:tcPr>
          <w:p w14:paraId="2B5EA397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68B6A21B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4175E63C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3B275F87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7EA8E2A6" w14:textId="70888C31" w:rsidTr="00012E14">
        <w:tc>
          <w:tcPr>
            <w:tcW w:w="2500" w:type="dxa"/>
          </w:tcPr>
          <w:p w14:paraId="3C4699E7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7B8B0244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1EE2D242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41771EF3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7496F826" w14:textId="77777777" w:rsidTr="00295E88">
        <w:tc>
          <w:tcPr>
            <w:tcW w:w="2500" w:type="dxa"/>
          </w:tcPr>
          <w:p w14:paraId="633A9E3A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5AD4F0E8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362AEC51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27B8B8D1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71F4A387" w14:textId="77777777" w:rsidTr="00295E88">
        <w:tc>
          <w:tcPr>
            <w:tcW w:w="2500" w:type="dxa"/>
          </w:tcPr>
          <w:p w14:paraId="044D89F9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2DB2D00D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3FE45E36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36FF0F24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622DB1EE" w14:textId="77777777" w:rsidTr="00295E88">
        <w:tc>
          <w:tcPr>
            <w:tcW w:w="2500" w:type="dxa"/>
          </w:tcPr>
          <w:p w14:paraId="51326EDF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16D45288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6A6EE5FF" w14:textId="523056A9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3B7A697D" w14:textId="77777777" w:rsidR="00F350F4" w:rsidRDefault="00F350F4" w:rsidP="00F350F4">
            <w:pPr>
              <w:rPr>
                <w:b/>
                <w:sz w:val="24"/>
              </w:rPr>
            </w:pPr>
          </w:p>
        </w:tc>
      </w:tr>
      <w:tr w:rsidR="00F350F4" w14:paraId="0A045417" w14:textId="11EB2087" w:rsidTr="00012E14">
        <w:tc>
          <w:tcPr>
            <w:tcW w:w="2500" w:type="dxa"/>
          </w:tcPr>
          <w:p w14:paraId="300BEEBF" w14:textId="173A17DA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318" w:type="dxa"/>
          </w:tcPr>
          <w:p w14:paraId="54D2D35A" w14:textId="77777777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408" w:type="dxa"/>
          </w:tcPr>
          <w:p w14:paraId="59339C57" w14:textId="574AEC95" w:rsidR="00F350F4" w:rsidRDefault="00276AF0" w:rsidP="00F350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Column </w:t>
            </w:r>
            <w:r w:rsidR="00F350F4">
              <w:rPr>
                <w:b/>
                <w:sz w:val="24"/>
              </w:rPr>
              <w:t>Total:</w:t>
            </w:r>
          </w:p>
          <w:p w14:paraId="370305DA" w14:textId="0EBAE1CF" w:rsidR="00F350F4" w:rsidRDefault="00F350F4" w:rsidP="00F350F4">
            <w:pPr>
              <w:rPr>
                <w:b/>
                <w:sz w:val="24"/>
              </w:rPr>
            </w:pPr>
          </w:p>
        </w:tc>
        <w:tc>
          <w:tcPr>
            <w:tcW w:w="2124" w:type="dxa"/>
          </w:tcPr>
          <w:p w14:paraId="4A8DABBE" w14:textId="71D9C1A5" w:rsidR="00F350F4" w:rsidRDefault="00276AF0" w:rsidP="00F350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Column </w:t>
            </w:r>
            <w:r w:rsidR="00F350F4">
              <w:rPr>
                <w:b/>
                <w:sz w:val="24"/>
              </w:rPr>
              <w:t>Total:</w:t>
            </w:r>
          </w:p>
          <w:p w14:paraId="1C1EE98F" w14:textId="77777777" w:rsidR="00F350F4" w:rsidRDefault="00F350F4" w:rsidP="00F350F4">
            <w:pPr>
              <w:rPr>
                <w:b/>
                <w:sz w:val="24"/>
              </w:rPr>
            </w:pPr>
          </w:p>
          <w:p w14:paraId="044BA321" w14:textId="14BDA5C8" w:rsidR="00F350F4" w:rsidRDefault="00F350F4" w:rsidP="00F350F4">
            <w:pPr>
              <w:rPr>
                <w:b/>
                <w:sz w:val="24"/>
              </w:rPr>
            </w:pPr>
          </w:p>
        </w:tc>
      </w:tr>
    </w:tbl>
    <w:p w14:paraId="516CCB0F" w14:textId="77777777" w:rsidR="004428A4" w:rsidRDefault="004428A4" w:rsidP="002D6171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2488"/>
      </w:tblGrid>
      <w:tr w:rsidR="00276AF0" w14:paraId="68920949" w14:textId="77777777" w:rsidTr="00276AF0">
        <w:trPr>
          <w:trHeight w:val="255"/>
        </w:trPr>
        <w:tc>
          <w:tcPr>
            <w:tcW w:w="2488" w:type="dxa"/>
          </w:tcPr>
          <w:p w14:paraId="62CCDEF3" w14:textId="77777777" w:rsidR="00276AF0" w:rsidRPr="006D4C78" w:rsidRDefault="00276AF0" w:rsidP="00276AF0">
            <w:pPr>
              <w:rPr>
                <w:b/>
                <w:sz w:val="24"/>
              </w:rPr>
            </w:pPr>
          </w:p>
        </w:tc>
      </w:tr>
    </w:tbl>
    <w:p w14:paraId="595CD24A" w14:textId="77777777" w:rsidR="00276AF0" w:rsidRPr="00276AF0" w:rsidRDefault="00276AF0" w:rsidP="002D6171">
      <w:pPr>
        <w:rPr>
          <w:bCs/>
          <w:sz w:val="24"/>
        </w:rPr>
      </w:pPr>
      <w:r w:rsidRPr="00276AF0">
        <w:rPr>
          <w:bCs/>
          <w:sz w:val="24"/>
        </w:rPr>
        <w:t>Subtotal</w:t>
      </w:r>
    </w:p>
    <w:p w14:paraId="56473349" w14:textId="076C1B37" w:rsidR="00F350F4" w:rsidRDefault="00F350F4" w:rsidP="002D6171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2488"/>
      </w:tblGrid>
      <w:tr w:rsidR="006D4C78" w14:paraId="6B24CC80" w14:textId="77777777" w:rsidTr="006D4C78">
        <w:trPr>
          <w:trHeight w:val="255"/>
        </w:trPr>
        <w:tc>
          <w:tcPr>
            <w:tcW w:w="2488" w:type="dxa"/>
          </w:tcPr>
          <w:p w14:paraId="1150FDC9" w14:textId="77777777" w:rsidR="006D4C78" w:rsidRPr="006D4C78" w:rsidRDefault="006D4C78" w:rsidP="006D4C78">
            <w:pPr>
              <w:rPr>
                <w:b/>
                <w:sz w:val="24"/>
              </w:rPr>
            </w:pPr>
          </w:p>
        </w:tc>
      </w:tr>
    </w:tbl>
    <w:p w14:paraId="53D4C051" w14:textId="457B1CC5" w:rsidR="00C760A9" w:rsidRDefault="00C760A9" w:rsidP="00C760A9">
      <w:pPr>
        <w:rPr>
          <w:sz w:val="24"/>
        </w:rPr>
      </w:pPr>
      <w:r>
        <w:rPr>
          <w:sz w:val="24"/>
        </w:rPr>
        <w:t>Project Management Fee of 10%</w:t>
      </w:r>
      <w:r w:rsidR="00276AF0">
        <w:rPr>
          <w:sz w:val="24"/>
        </w:rPr>
        <w:t>*</w:t>
      </w:r>
    </w:p>
    <w:p w14:paraId="53A870FD" w14:textId="77777777" w:rsidR="00276AF0" w:rsidRPr="00276AF0" w:rsidRDefault="00276AF0" w:rsidP="00276AF0">
      <w:pPr>
        <w:rPr>
          <w:i/>
          <w:iCs/>
          <w:sz w:val="20"/>
          <w:szCs w:val="20"/>
        </w:rPr>
      </w:pPr>
      <w:r w:rsidRPr="00276AF0">
        <w:rPr>
          <w:i/>
          <w:iCs/>
          <w:sz w:val="20"/>
          <w:szCs w:val="20"/>
        </w:rPr>
        <w:t>* Project management is 10% as reflected in the currently executed agreement.</w:t>
      </w:r>
    </w:p>
    <w:tbl>
      <w:tblPr>
        <w:tblStyle w:val="TableGrid"/>
        <w:tblpPr w:leftFromText="180" w:rightFromText="180" w:vertAnchor="text" w:horzAnchor="margin" w:tblpXSpec="right" w:tblpY="413"/>
        <w:tblW w:w="0" w:type="auto"/>
        <w:tblLook w:val="04A0" w:firstRow="1" w:lastRow="0" w:firstColumn="1" w:lastColumn="0" w:noHBand="0" w:noVBand="1"/>
      </w:tblPr>
      <w:tblGrid>
        <w:gridCol w:w="2533"/>
      </w:tblGrid>
      <w:tr w:rsidR="00276AF0" w14:paraId="11CA3223" w14:textId="77777777" w:rsidTr="00276AF0">
        <w:trPr>
          <w:trHeight w:val="255"/>
        </w:trPr>
        <w:tc>
          <w:tcPr>
            <w:tcW w:w="2533" w:type="dxa"/>
          </w:tcPr>
          <w:p w14:paraId="0BA9F289" w14:textId="77777777" w:rsidR="00276AF0" w:rsidRPr="006D4C78" w:rsidRDefault="00276AF0" w:rsidP="00276AF0">
            <w:pPr>
              <w:rPr>
                <w:b/>
                <w:sz w:val="24"/>
              </w:rPr>
            </w:pPr>
          </w:p>
        </w:tc>
      </w:tr>
    </w:tbl>
    <w:p w14:paraId="255AD6E9" w14:textId="2E3573CE" w:rsidR="00012E14" w:rsidRPr="00276AF0" w:rsidRDefault="00276AF0" w:rsidP="00276AF0">
      <w:pPr>
        <w:rPr>
          <w:sz w:val="24"/>
        </w:rPr>
      </w:pPr>
      <w:r>
        <w:rPr>
          <w:sz w:val="24"/>
        </w:rPr>
        <w:t xml:space="preserve"> </w:t>
      </w:r>
    </w:p>
    <w:p w14:paraId="205DCC46" w14:textId="67698C8F" w:rsidR="00C760A9" w:rsidRPr="002D6171" w:rsidRDefault="00C760A9" w:rsidP="00C760A9">
      <w:pPr>
        <w:rPr>
          <w:sz w:val="24"/>
        </w:rPr>
      </w:pPr>
      <w:r>
        <w:rPr>
          <w:sz w:val="24"/>
        </w:rPr>
        <w:t xml:space="preserve">Total Amount Requested on </w:t>
      </w:r>
      <w:r w:rsidR="00276AF0">
        <w:rPr>
          <w:sz w:val="24"/>
        </w:rPr>
        <w:t xml:space="preserve">this </w:t>
      </w:r>
      <w:r>
        <w:rPr>
          <w:sz w:val="24"/>
        </w:rPr>
        <w:t xml:space="preserve">Agreement Amendment </w:t>
      </w:r>
    </w:p>
    <w:p w14:paraId="450F1248" w14:textId="77777777" w:rsidR="002D6171" w:rsidRDefault="002D6171" w:rsidP="002D6171">
      <w:pPr>
        <w:rPr>
          <w:sz w:val="24"/>
        </w:rPr>
      </w:pPr>
    </w:p>
    <w:p w14:paraId="7A6C10B4" w14:textId="77777777" w:rsidR="00276AF0" w:rsidRPr="00C760A9" w:rsidRDefault="00276AF0" w:rsidP="0027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____________________________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____________________________</w:t>
      </w:r>
    </w:p>
    <w:p w14:paraId="1EC9C39A" w14:textId="1FFB0F66" w:rsidR="00276AF0" w:rsidRPr="00C760A9" w:rsidRDefault="00276AF0" w:rsidP="0027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College Name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Lead Campus Name</w:t>
      </w:r>
    </w:p>
    <w:p w14:paraId="4782F0ED" w14:textId="77777777" w:rsidR="00276AF0" w:rsidRDefault="00276AF0" w:rsidP="00C760A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224DC03" w14:textId="7D8A8E53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____________________________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____________________________</w:t>
      </w:r>
    </w:p>
    <w:p w14:paraId="4B193123" w14:textId="5CE6B76F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Signature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Signature</w:t>
      </w:r>
    </w:p>
    <w:p w14:paraId="207EE196" w14:textId="77777777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0F11D" w14:textId="4B25E621" w:rsidR="00C760A9" w:rsidRPr="00C760A9" w:rsidRDefault="00012E14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____________________________                                       ____________________________</w:t>
      </w:r>
    </w:p>
    <w:p w14:paraId="3F4EB329" w14:textId="7847286C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Printed Name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Printed Name</w:t>
      </w:r>
    </w:p>
    <w:p w14:paraId="493C0CA0" w14:textId="77777777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D4313" w14:textId="77777777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____________________________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____________________________</w:t>
      </w:r>
    </w:p>
    <w:p w14:paraId="3AC2E76D" w14:textId="4A0B374F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Title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Title</w:t>
      </w:r>
    </w:p>
    <w:p w14:paraId="62350AED" w14:textId="77777777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10722" w14:textId="75026770" w:rsidR="00C760A9" w:rsidRPr="00C760A9" w:rsidRDefault="00C760A9" w:rsidP="00C7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0A9">
        <w:rPr>
          <w:rFonts w:ascii="Calibri" w:eastAsia="Times New Roman" w:hAnsi="Calibri" w:cs="Calibri"/>
          <w:color w:val="000000"/>
        </w:rPr>
        <w:t>_______________________</w:t>
      </w:r>
      <w:r w:rsidR="00012E14">
        <w:rPr>
          <w:rFonts w:ascii="Calibri" w:eastAsia="Times New Roman" w:hAnsi="Calibri" w:cs="Calibri"/>
          <w:color w:val="000000"/>
        </w:rPr>
        <w:t>____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  <w:t>____________________</w:t>
      </w:r>
      <w:r>
        <w:rPr>
          <w:rFonts w:ascii="Calibri" w:eastAsia="Times New Roman" w:hAnsi="Calibri" w:cs="Calibri"/>
          <w:color w:val="000000"/>
        </w:rPr>
        <w:t>________</w:t>
      </w:r>
    </w:p>
    <w:p w14:paraId="5272197E" w14:textId="1FF30B74" w:rsidR="002D6171" w:rsidRPr="002D6171" w:rsidRDefault="00C760A9" w:rsidP="002D6171">
      <w:pPr>
        <w:rPr>
          <w:sz w:val="24"/>
        </w:rPr>
      </w:pPr>
      <w:r w:rsidRPr="00C760A9">
        <w:rPr>
          <w:rFonts w:ascii="Calibri" w:eastAsia="Times New Roman" w:hAnsi="Calibri" w:cs="Calibri"/>
          <w:color w:val="000000"/>
        </w:rPr>
        <w:t>Date</w:t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ab/>
      </w:r>
      <w:r w:rsidR="00012E14">
        <w:rPr>
          <w:rFonts w:ascii="Calibri" w:eastAsia="Times New Roman" w:hAnsi="Calibri" w:cs="Calibri"/>
          <w:color w:val="000000"/>
        </w:rPr>
        <w:tab/>
      </w:r>
      <w:r w:rsidR="00012E14">
        <w:rPr>
          <w:rFonts w:ascii="Calibri" w:eastAsia="Times New Roman" w:hAnsi="Calibri" w:cs="Calibri"/>
          <w:color w:val="000000"/>
        </w:rPr>
        <w:tab/>
      </w:r>
      <w:r w:rsidRPr="00C760A9">
        <w:rPr>
          <w:rFonts w:ascii="Calibri" w:eastAsia="Times New Roman" w:hAnsi="Calibri" w:cs="Calibri"/>
          <w:color w:val="000000"/>
        </w:rPr>
        <w:t>Date</w:t>
      </w:r>
    </w:p>
    <w:sectPr w:rsidR="002D6171" w:rsidRPr="002D61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8F00" w14:textId="77777777" w:rsidR="0033145F" w:rsidRDefault="0033145F" w:rsidP="0033145F">
      <w:pPr>
        <w:spacing w:after="0" w:line="240" w:lineRule="auto"/>
      </w:pPr>
      <w:r>
        <w:separator/>
      </w:r>
    </w:p>
  </w:endnote>
  <w:endnote w:type="continuationSeparator" w:id="0">
    <w:p w14:paraId="196CE6B2" w14:textId="77777777" w:rsidR="0033145F" w:rsidRDefault="0033145F" w:rsidP="0033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FCF4" w14:textId="0E293934" w:rsidR="0033145F" w:rsidRDefault="0033145F">
    <w:pPr>
      <w:pStyle w:val="Footer"/>
    </w:pPr>
    <w:r>
      <w:t>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5D5E" w14:textId="77777777" w:rsidR="0033145F" w:rsidRDefault="0033145F" w:rsidP="0033145F">
      <w:pPr>
        <w:spacing w:after="0" w:line="240" w:lineRule="auto"/>
      </w:pPr>
      <w:r>
        <w:separator/>
      </w:r>
    </w:p>
  </w:footnote>
  <w:footnote w:type="continuationSeparator" w:id="0">
    <w:p w14:paraId="11A6DF3C" w14:textId="77777777" w:rsidR="0033145F" w:rsidRDefault="0033145F" w:rsidP="0033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2AC0" w14:textId="36806FB8" w:rsidR="0047097A" w:rsidRPr="0047097A" w:rsidRDefault="0047097A" w:rsidP="0047097A">
    <w:pPr>
      <w:pStyle w:val="NormalWeb"/>
      <w:rPr>
        <w:noProof/>
      </w:rPr>
    </w:pPr>
    <w:r w:rsidRPr="0047097A">
      <w:rPr>
        <w:noProof/>
      </w:rPr>
      <w:drawing>
        <wp:inline distT="0" distB="0" distL="0" distR="0" wp14:anchorId="72E40C20" wp14:editId="4DBD841A">
          <wp:extent cx="1080092" cy="443345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978" cy="45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C783D" w14:textId="400DE850" w:rsidR="00012E14" w:rsidRDefault="00012E14" w:rsidP="00012E14">
    <w:pPr>
      <w:pStyle w:val="NormalWeb"/>
    </w:pPr>
  </w:p>
  <w:p w14:paraId="7FE0B14B" w14:textId="77777777" w:rsidR="00012E14" w:rsidRDefault="0001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06CBA"/>
    <w:multiLevelType w:val="hybridMultilevel"/>
    <w:tmpl w:val="31D06DA8"/>
    <w:lvl w:ilvl="0" w:tplc="9E80F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2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71"/>
    <w:rsid w:val="00012E14"/>
    <w:rsid w:val="001F0FDE"/>
    <w:rsid w:val="00276AF0"/>
    <w:rsid w:val="00295E88"/>
    <w:rsid w:val="002D6171"/>
    <w:rsid w:val="0033145F"/>
    <w:rsid w:val="003E7C60"/>
    <w:rsid w:val="004428A4"/>
    <w:rsid w:val="0047097A"/>
    <w:rsid w:val="006D4C78"/>
    <w:rsid w:val="008A49B9"/>
    <w:rsid w:val="009837FB"/>
    <w:rsid w:val="009F2B29"/>
    <w:rsid w:val="00A50DCA"/>
    <w:rsid w:val="00B3599A"/>
    <w:rsid w:val="00B66992"/>
    <w:rsid w:val="00C67DEE"/>
    <w:rsid w:val="00C760A9"/>
    <w:rsid w:val="00DC183C"/>
    <w:rsid w:val="00DF37DA"/>
    <w:rsid w:val="00E04F27"/>
    <w:rsid w:val="00EF3C8F"/>
    <w:rsid w:val="00F350F4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52EC4B"/>
  <w15:chartTrackingRefBased/>
  <w15:docId w15:val="{8EFBFA59-8EB8-4349-A420-F581490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5F"/>
  </w:style>
  <w:style w:type="paragraph" w:styleId="Footer">
    <w:name w:val="footer"/>
    <w:basedOn w:val="Normal"/>
    <w:link w:val="FooterChar"/>
    <w:uiPriority w:val="99"/>
    <w:unhideWhenUsed/>
    <w:rsid w:val="0033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5F"/>
  </w:style>
  <w:style w:type="paragraph" w:styleId="Revision">
    <w:name w:val="Revision"/>
    <w:hidden/>
    <w:uiPriority w:val="99"/>
    <w:semiHidden/>
    <w:rsid w:val="00B669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1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C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760A9"/>
  </w:style>
  <w:style w:type="character" w:styleId="Hyperlink">
    <w:name w:val="Hyperlink"/>
    <w:basedOn w:val="DefaultParagraphFont"/>
    <w:uiPriority w:val="99"/>
    <w:unhideWhenUsed/>
    <w:rsid w:val="00DC1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ny.edu/media/suny/content-assets/documents/workforce-dev/Trade-List-and-Amounts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 Kraines</dc:creator>
  <cp:keywords/>
  <dc:description/>
  <cp:lastModifiedBy>Kohan, Mary</cp:lastModifiedBy>
  <cp:revision>3</cp:revision>
  <dcterms:created xsi:type="dcterms:W3CDTF">2024-02-01T14:18:00Z</dcterms:created>
  <dcterms:modified xsi:type="dcterms:W3CDTF">2024-03-07T15:51:00Z</dcterms:modified>
</cp:coreProperties>
</file>