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0179C" w14:textId="77777777" w:rsidR="00A02FA5" w:rsidRDefault="006C7E96" w:rsidP="00A02FA5">
      <w:pPr>
        <w:rPr>
          <w:rFonts w:ascii="Aaux Pro-Regular" w:hAnsi="Aaux Pro-Regular"/>
          <w:sz w:val="20"/>
        </w:rPr>
      </w:pPr>
      <w:r>
        <w:rPr>
          <w:rFonts w:ascii="Aaux Pro-Regular" w:hAnsi="Aaux Pro-Regular"/>
          <w:noProof/>
          <w:sz w:val="20"/>
        </w:rPr>
        <w:drawing>
          <wp:anchor distT="0" distB="0" distL="114300" distR="114300" simplePos="0" relativeHeight="251658240" behindDoc="1" locked="0" layoutInCell="1" allowOverlap="1" wp14:anchorId="2B3E9053" wp14:editId="1A339D37">
            <wp:simplePos x="0" y="0"/>
            <wp:positionH relativeFrom="column">
              <wp:posOffset>-1143000</wp:posOffset>
            </wp:positionH>
            <wp:positionV relativeFrom="paragraph">
              <wp:posOffset>-914400</wp:posOffset>
            </wp:positionV>
            <wp:extent cx="3022600" cy="10058400"/>
            <wp:effectExtent l="25400" t="0" r="0" b="0"/>
            <wp:wrapNone/>
            <wp:docPr id="1" name="Picture 1" descr="Agenda templat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da template (A).jpg"/>
                    <pic:cNvPicPr/>
                  </pic:nvPicPr>
                  <pic:blipFill>
                    <a:blip r:embed="rId9"/>
                    <a:stretch>
                      <a:fillRect/>
                    </a:stretch>
                  </pic:blipFill>
                  <pic:spPr>
                    <a:xfrm>
                      <a:off x="0" y="0"/>
                      <a:ext cx="3022600" cy="10058400"/>
                    </a:xfrm>
                    <a:prstGeom prst="rect">
                      <a:avLst/>
                    </a:prstGeom>
                  </pic:spPr>
                </pic:pic>
              </a:graphicData>
            </a:graphic>
          </wp:anchor>
        </w:drawing>
      </w:r>
    </w:p>
    <w:p w14:paraId="4E56C098" w14:textId="77777777" w:rsidR="00A02FA5" w:rsidRDefault="00A02FA5" w:rsidP="00A02FA5">
      <w:pPr>
        <w:rPr>
          <w:rFonts w:ascii="Aaux Pro-Regular" w:hAnsi="Aaux Pro-Regular"/>
          <w:sz w:val="20"/>
        </w:rPr>
      </w:pPr>
    </w:p>
    <w:p w14:paraId="71276A0C" w14:textId="77777777" w:rsidR="00A02FA5" w:rsidRDefault="00A02FA5" w:rsidP="00A02FA5">
      <w:pPr>
        <w:rPr>
          <w:rFonts w:ascii="Aaux Pro-Regular" w:hAnsi="Aaux Pro-Regular"/>
          <w:sz w:val="20"/>
        </w:rPr>
      </w:pPr>
    </w:p>
    <w:p w14:paraId="101C3E9B" w14:textId="77777777" w:rsidR="00A02FA5" w:rsidRDefault="00A02FA5" w:rsidP="00A02FA5">
      <w:pPr>
        <w:rPr>
          <w:rFonts w:ascii="Aaux Pro-Regular" w:hAnsi="Aaux Pro-Regular"/>
          <w:sz w:val="20"/>
        </w:rPr>
      </w:pPr>
    </w:p>
    <w:p w14:paraId="269A77AF" w14:textId="77777777" w:rsidR="00A02FA5" w:rsidRDefault="00A02FA5" w:rsidP="00A02FA5">
      <w:pPr>
        <w:rPr>
          <w:rFonts w:ascii="Aaux Pro-Regular" w:hAnsi="Aaux Pro-Regular"/>
          <w:sz w:val="20"/>
        </w:rPr>
      </w:pPr>
    </w:p>
    <w:p w14:paraId="0EEE30F8" w14:textId="77777777" w:rsidR="003B03C7" w:rsidRDefault="003B03C7" w:rsidP="00A02FA5">
      <w:pPr>
        <w:ind w:left="450"/>
        <w:rPr>
          <w:rFonts w:ascii="Aaux Pro-Regular" w:hAnsi="Aaux Pro-Regular"/>
          <w:sz w:val="20"/>
        </w:rPr>
      </w:pPr>
    </w:p>
    <w:p w14:paraId="62D95D01" w14:textId="77777777" w:rsidR="001D0D7E" w:rsidRPr="00163D5D" w:rsidRDefault="00A00F6F" w:rsidP="00163D5D">
      <w:pPr>
        <w:spacing w:line="360" w:lineRule="auto"/>
        <w:ind w:left="446"/>
        <w:jc w:val="center"/>
        <w:rPr>
          <w:rFonts w:ascii="Calibri" w:hAnsi="Calibri"/>
          <w:b/>
          <w:caps/>
          <w:sz w:val="36"/>
          <w:u w:val="single"/>
        </w:rPr>
      </w:pPr>
      <w:r>
        <w:rPr>
          <w:rFonts w:ascii="Calibri" w:hAnsi="Calibri"/>
          <w:b/>
          <w:caps/>
          <w:sz w:val="36"/>
          <w:u w:val="single"/>
        </w:rPr>
        <w:t>M E M O R A N D U M</w:t>
      </w:r>
    </w:p>
    <w:p w14:paraId="574E73FB" w14:textId="7F5FA434" w:rsidR="005E6E7E" w:rsidRPr="005E6E7E" w:rsidRDefault="005E6E7E" w:rsidP="005E6E7E">
      <w:pPr>
        <w:spacing w:line="360" w:lineRule="auto"/>
        <w:ind w:left="1800" w:hanging="1350"/>
        <w:rPr>
          <w:rFonts w:ascii="Calibri" w:hAnsi="Calibri"/>
          <w:b/>
          <w:sz w:val="28"/>
        </w:rPr>
      </w:pPr>
      <w:r w:rsidRPr="005E6E7E">
        <w:rPr>
          <w:rFonts w:ascii="Calibri" w:hAnsi="Calibri"/>
          <w:b/>
          <w:caps/>
          <w:sz w:val="28"/>
        </w:rPr>
        <w:t>TO:</w:t>
      </w:r>
      <w:r>
        <w:rPr>
          <w:rFonts w:ascii="Calibri" w:hAnsi="Calibri"/>
          <w:b/>
          <w:caps/>
          <w:sz w:val="28"/>
        </w:rPr>
        <w:tab/>
      </w:r>
      <w:r w:rsidR="0055439B">
        <w:rPr>
          <w:rFonts w:ascii="Calibri" w:hAnsi="Calibri"/>
          <w:b/>
          <w:caps/>
          <w:sz w:val="28"/>
        </w:rPr>
        <w:t>The Office of the state comptroller</w:t>
      </w:r>
    </w:p>
    <w:p w14:paraId="40DF74F3" w14:textId="73DE83B7" w:rsidR="0055439B" w:rsidRPr="005E6E7E" w:rsidRDefault="005E6E7E" w:rsidP="003D5898">
      <w:pPr>
        <w:spacing w:line="360" w:lineRule="auto"/>
        <w:ind w:left="1800" w:hanging="1354"/>
        <w:contextualSpacing/>
        <w:rPr>
          <w:rFonts w:ascii="Calibri" w:hAnsi="Calibri"/>
          <w:b/>
          <w:sz w:val="28"/>
        </w:rPr>
      </w:pPr>
      <w:r w:rsidRPr="005E6E7E">
        <w:rPr>
          <w:rFonts w:ascii="Calibri" w:hAnsi="Calibri"/>
          <w:b/>
          <w:caps/>
          <w:sz w:val="28"/>
        </w:rPr>
        <w:t>FROM:</w:t>
      </w:r>
      <w:r>
        <w:rPr>
          <w:rFonts w:ascii="Calibri" w:hAnsi="Calibri"/>
          <w:b/>
          <w:caps/>
          <w:sz w:val="28"/>
        </w:rPr>
        <w:tab/>
      </w:r>
      <w:r w:rsidR="003D5898">
        <w:rPr>
          <w:rFonts w:ascii="Calibri" w:hAnsi="Calibri"/>
          <w:b/>
          <w:caps/>
          <w:sz w:val="28"/>
        </w:rPr>
        <w:t>*insert campus*</w:t>
      </w:r>
    </w:p>
    <w:p w14:paraId="429FAEE8" w14:textId="322E3A91" w:rsidR="005E6E7E" w:rsidRPr="005E6E7E" w:rsidRDefault="005E6E7E" w:rsidP="003D5898">
      <w:pPr>
        <w:spacing w:line="360" w:lineRule="auto"/>
        <w:ind w:left="1800" w:hanging="1350"/>
        <w:contextualSpacing/>
        <w:rPr>
          <w:rFonts w:ascii="Calibri" w:hAnsi="Calibri"/>
          <w:b/>
          <w:sz w:val="28"/>
        </w:rPr>
      </w:pPr>
      <w:r w:rsidRPr="005E6E7E">
        <w:rPr>
          <w:rFonts w:ascii="Calibri" w:hAnsi="Calibri"/>
          <w:b/>
          <w:caps/>
          <w:sz w:val="28"/>
        </w:rPr>
        <w:t>DATE:</w:t>
      </w:r>
      <w:r>
        <w:rPr>
          <w:rFonts w:ascii="Calibri" w:hAnsi="Calibri"/>
          <w:b/>
          <w:caps/>
          <w:sz w:val="28"/>
        </w:rPr>
        <w:tab/>
      </w:r>
      <w:r w:rsidR="003D5898">
        <w:rPr>
          <w:rFonts w:ascii="Calibri" w:hAnsi="Calibri"/>
          <w:b/>
          <w:sz w:val="28"/>
        </w:rPr>
        <w:t>*insert date*</w:t>
      </w:r>
    </w:p>
    <w:p w14:paraId="0305D3F9" w14:textId="0EA079E0" w:rsidR="003B03C7" w:rsidRPr="005E6E7E" w:rsidRDefault="005E6E7E" w:rsidP="005E6E7E">
      <w:pPr>
        <w:tabs>
          <w:tab w:val="left" w:pos="1800"/>
        </w:tabs>
        <w:spacing w:line="360" w:lineRule="auto"/>
        <w:ind w:left="1800" w:hanging="1350"/>
        <w:rPr>
          <w:rFonts w:ascii="Calibri" w:hAnsi="Calibri"/>
          <w:b/>
          <w:sz w:val="28"/>
        </w:rPr>
      </w:pPr>
      <w:r w:rsidRPr="005E6E7E">
        <w:rPr>
          <w:rFonts w:ascii="Calibri" w:hAnsi="Calibri"/>
          <w:b/>
          <w:caps/>
          <w:sz w:val="28"/>
        </w:rPr>
        <w:t>SUBJECT:</w:t>
      </w:r>
      <w:r>
        <w:rPr>
          <w:rFonts w:ascii="Calibri" w:hAnsi="Calibri"/>
          <w:b/>
          <w:caps/>
          <w:sz w:val="28"/>
        </w:rPr>
        <w:t xml:space="preserve">   </w:t>
      </w:r>
      <w:r>
        <w:rPr>
          <w:rFonts w:ascii="Calibri" w:hAnsi="Calibri"/>
          <w:b/>
          <w:caps/>
          <w:sz w:val="28"/>
        </w:rPr>
        <w:tab/>
      </w:r>
      <w:r w:rsidR="00E214FF">
        <w:rPr>
          <w:rFonts w:ascii="Calibri" w:hAnsi="Calibri"/>
          <w:b/>
          <w:caps/>
          <w:sz w:val="28"/>
        </w:rPr>
        <w:t xml:space="preserve">DASNY </w:t>
      </w:r>
      <w:r w:rsidR="00BC7171">
        <w:rPr>
          <w:rFonts w:ascii="Calibri" w:hAnsi="Calibri"/>
          <w:b/>
          <w:sz w:val="28"/>
        </w:rPr>
        <w:t>Residence Hall Projects Funded by Campus</w:t>
      </w:r>
      <w:r w:rsidR="00AA31BA">
        <w:rPr>
          <w:rFonts w:ascii="Calibri" w:hAnsi="Calibri"/>
          <w:b/>
          <w:sz w:val="28"/>
        </w:rPr>
        <w:t xml:space="preserve"> Funds </w:t>
      </w:r>
    </w:p>
    <w:p w14:paraId="11A1BB32" w14:textId="77777777" w:rsidR="003B03C7" w:rsidRPr="00163D5D" w:rsidRDefault="003B03C7" w:rsidP="003B03C7">
      <w:pPr>
        <w:spacing w:line="360" w:lineRule="auto"/>
        <w:ind w:left="450"/>
        <w:rPr>
          <w:rFonts w:ascii="Calibri" w:hAnsi="Calibri"/>
          <w:sz w:val="20"/>
        </w:rPr>
      </w:pPr>
    </w:p>
    <w:p w14:paraId="4422C923" w14:textId="77777777" w:rsidR="00DC5946" w:rsidRPr="00DC5946" w:rsidRDefault="00DC5946" w:rsidP="00DC5946">
      <w:pPr>
        <w:spacing w:after="240" w:line="360" w:lineRule="auto"/>
        <w:ind w:left="450"/>
        <w:rPr>
          <w:rFonts w:ascii="Calibri" w:hAnsi="Calibri"/>
          <w:sz w:val="22"/>
        </w:rPr>
      </w:pPr>
      <w:r w:rsidRPr="00DC5946">
        <w:rPr>
          <w:rFonts w:ascii="Calibri" w:hAnsi="Calibri"/>
          <w:sz w:val="22"/>
        </w:rPr>
        <w:t xml:space="preserve">The Dormitory Authority of the State of New York (“DASNY”), together with the State University of New York (“SUNY”), is responsible for the construction, reconstruction, rehabilitation, improvement, equipping, and furnishing of dormitory facilities, referred to as the Residence Hall Capital Program (“the Program”). Capital contracts within the Program let by DASNY, are primarily funded with bond proceeds. However, in some cases, SUNY provides additional cash to DASNY to support a project. </w:t>
      </w:r>
    </w:p>
    <w:p w14:paraId="058B27E6" w14:textId="06808979" w:rsidR="00DC5946" w:rsidRPr="00DC5946" w:rsidRDefault="00DC5946" w:rsidP="00DC5946">
      <w:pPr>
        <w:spacing w:after="240" w:line="360" w:lineRule="auto"/>
        <w:ind w:left="450"/>
        <w:rPr>
          <w:rFonts w:ascii="Calibri" w:hAnsi="Calibri"/>
          <w:sz w:val="22"/>
        </w:rPr>
      </w:pPr>
      <w:r w:rsidRPr="00DC5946">
        <w:rPr>
          <w:rFonts w:ascii="Calibri" w:hAnsi="Calibri"/>
          <w:sz w:val="22"/>
        </w:rPr>
        <w:t xml:space="preserve">The attached contract between SUNY and DASNY is established in order to allow SUNY to transfer funding to DASNY for use on a contract. This process is established by an MOU between DASNY and SUNY, dated October 3, 1997. The MOU, </w:t>
      </w:r>
      <w:r w:rsidR="007E329D">
        <w:rPr>
          <w:rFonts w:ascii="Calibri" w:hAnsi="Calibri"/>
          <w:sz w:val="22"/>
        </w:rPr>
        <w:t>which was approved</w:t>
      </w:r>
      <w:r w:rsidRPr="00DC5946">
        <w:rPr>
          <w:rFonts w:ascii="Calibri" w:hAnsi="Calibri"/>
          <w:sz w:val="22"/>
        </w:rPr>
        <w:t xml:space="preserve"> by </w:t>
      </w:r>
      <w:r w:rsidR="005870B0">
        <w:rPr>
          <w:rFonts w:ascii="Calibri" w:hAnsi="Calibri"/>
          <w:sz w:val="22"/>
        </w:rPr>
        <w:t>the Office of the State Comptroller and the Attorney General</w:t>
      </w:r>
      <w:r w:rsidRPr="00DC5946">
        <w:rPr>
          <w:rFonts w:ascii="Calibri" w:hAnsi="Calibri"/>
          <w:sz w:val="22"/>
        </w:rPr>
        <w:t>, covers the process used by campuses to complete a Contract Encumbrance Request (AC340) to encumber funds on a contract between SUNY and DASNY when the campus funds a project with campus cash or revolving loans.</w:t>
      </w:r>
    </w:p>
    <w:p w14:paraId="6E6CB851" w14:textId="5E66F824" w:rsidR="00C21BE6" w:rsidRDefault="00DC5946" w:rsidP="00E203B4">
      <w:pPr>
        <w:spacing w:after="240" w:line="360" w:lineRule="auto"/>
        <w:ind w:left="450"/>
        <w:rPr>
          <w:rFonts w:ascii="Calibri" w:hAnsi="Calibri"/>
          <w:sz w:val="22"/>
        </w:rPr>
      </w:pPr>
      <w:r w:rsidRPr="00DC5946">
        <w:rPr>
          <w:rFonts w:ascii="Calibri" w:hAnsi="Calibri"/>
          <w:sz w:val="22"/>
        </w:rPr>
        <w:t xml:space="preserve">The campus is not entering into a contract for goods or services with vendors. DASNY is the contracting entity procuring and letting contracts with vendors for this project in accordance with all applicable rules, regulations and laws. The contract issued by SUNY to DASNY is a mechanism to make payment to DASNY to provide funding. The contract issued </w:t>
      </w:r>
      <w:r w:rsidRPr="00DC5946">
        <w:rPr>
          <w:rFonts w:ascii="Calibri" w:hAnsi="Calibri"/>
          <w:sz w:val="22"/>
        </w:rPr>
        <w:lastRenderedPageBreak/>
        <w:t xml:space="preserve">by SUNY to DASNY is used to periodically voucher </w:t>
      </w:r>
      <w:r w:rsidR="00B76808">
        <w:rPr>
          <w:rFonts w:ascii="Calibri" w:hAnsi="Calibri"/>
          <w:sz w:val="22"/>
        </w:rPr>
        <w:t xml:space="preserve">funds </w:t>
      </w:r>
      <w:r w:rsidRPr="00DC5946">
        <w:rPr>
          <w:rFonts w:ascii="Calibri" w:hAnsi="Calibri"/>
          <w:sz w:val="22"/>
        </w:rPr>
        <w:t xml:space="preserve">to DASNY in accordance with </w:t>
      </w:r>
      <w:r w:rsidR="00B9256C">
        <w:rPr>
          <w:rFonts w:ascii="Calibri" w:hAnsi="Calibri"/>
          <w:sz w:val="22"/>
        </w:rPr>
        <w:t xml:space="preserve">an </w:t>
      </w:r>
      <w:r w:rsidRPr="00DC5946">
        <w:rPr>
          <w:rFonts w:ascii="Calibri" w:hAnsi="Calibri"/>
          <w:sz w:val="22"/>
        </w:rPr>
        <w:t>agreed upon payment schedule</w:t>
      </w:r>
      <w:r w:rsidR="00A84A05">
        <w:rPr>
          <w:rFonts w:ascii="Calibri" w:hAnsi="Calibri"/>
          <w:sz w:val="22"/>
        </w:rPr>
        <w:t xml:space="preserve">. </w:t>
      </w:r>
      <w:r w:rsidR="0011224D">
        <w:rPr>
          <w:rFonts w:ascii="Calibri" w:hAnsi="Calibri"/>
          <w:sz w:val="22"/>
        </w:rPr>
        <w:t xml:space="preserve">This schedule </w:t>
      </w:r>
      <w:r w:rsidR="00A84A05">
        <w:rPr>
          <w:rFonts w:ascii="Calibri" w:hAnsi="Calibri"/>
          <w:sz w:val="22"/>
        </w:rPr>
        <w:t xml:space="preserve">is generated by DASNY </w:t>
      </w:r>
      <w:r w:rsidR="00A84A05" w:rsidRPr="00CA37A7">
        <w:rPr>
          <w:rFonts w:ascii="Calibri" w:hAnsi="Calibri"/>
          <w:sz w:val="22"/>
        </w:rPr>
        <w:t xml:space="preserve">and </w:t>
      </w:r>
      <w:r w:rsidR="0011224D" w:rsidRPr="00CA37A7">
        <w:rPr>
          <w:rFonts w:ascii="Calibri" w:hAnsi="Calibri"/>
          <w:sz w:val="22"/>
        </w:rPr>
        <w:t>will be</w:t>
      </w:r>
      <w:r w:rsidR="00E203B4" w:rsidRPr="00CA37A7">
        <w:rPr>
          <w:rFonts w:ascii="Calibri" w:hAnsi="Calibri"/>
          <w:sz w:val="22"/>
        </w:rPr>
        <w:t xml:space="preserve"> provided</w:t>
      </w:r>
      <w:r w:rsidR="00B42ECB" w:rsidRPr="00CA37A7">
        <w:rPr>
          <w:rFonts w:ascii="Calibri" w:hAnsi="Calibri"/>
          <w:sz w:val="22"/>
        </w:rPr>
        <w:t xml:space="preserve"> </w:t>
      </w:r>
      <w:r w:rsidR="00E203B4" w:rsidRPr="00CA37A7">
        <w:rPr>
          <w:rFonts w:ascii="Calibri" w:hAnsi="Calibri"/>
          <w:sz w:val="22"/>
        </w:rPr>
        <w:t xml:space="preserve">quarterly </w:t>
      </w:r>
      <w:r w:rsidR="00B42ECB" w:rsidRPr="00CA37A7">
        <w:rPr>
          <w:rFonts w:ascii="Calibri" w:hAnsi="Calibri"/>
          <w:sz w:val="22"/>
        </w:rPr>
        <w:t xml:space="preserve">to the </w:t>
      </w:r>
      <w:r w:rsidR="00A84A05" w:rsidRPr="00CA37A7">
        <w:rPr>
          <w:rFonts w:ascii="Calibri" w:hAnsi="Calibri"/>
          <w:sz w:val="22"/>
        </w:rPr>
        <w:t>C</w:t>
      </w:r>
      <w:r w:rsidR="00B42ECB" w:rsidRPr="00CA37A7">
        <w:rPr>
          <w:rFonts w:ascii="Calibri" w:hAnsi="Calibri"/>
          <w:sz w:val="22"/>
        </w:rPr>
        <w:t xml:space="preserve">ampus </w:t>
      </w:r>
      <w:r w:rsidR="00A84A05" w:rsidRPr="00CA37A7">
        <w:rPr>
          <w:rFonts w:ascii="Calibri" w:hAnsi="Calibri"/>
          <w:sz w:val="22"/>
        </w:rPr>
        <w:t>and to the OSC Voucher Audit Team</w:t>
      </w:r>
      <w:r w:rsidR="00E203B4" w:rsidRPr="00CA37A7">
        <w:rPr>
          <w:rFonts w:ascii="Calibri" w:hAnsi="Calibri"/>
          <w:sz w:val="22"/>
        </w:rPr>
        <w:t>.</w:t>
      </w:r>
      <w:r w:rsidR="00B42ECB" w:rsidRPr="00CA37A7">
        <w:rPr>
          <w:rFonts w:ascii="Calibri" w:hAnsi="Calibri"/>
          <w:sz w:val="22"/>
        </w:rPr>
        <w:t xml:space="preserve"> As outlined in the MOU,</w:t>
      </w:r>
      <w:r w:rsidR="00B42ECB">
        <w:rPr>
          <w:rFonts w:ascii="Calibri" w:hAnsi="Calibri"/>
          <w:sz w:val="22"/>
        </w:rPr>
        <w:t xml:space="preserve"> these funds are</w:t>
      </w:r>
      <w:r w:rsidR="00C21BE6">
        <w:rPr>
          <w:rFonts w:ascii="Calibri" w:hAnsi="Calibri"/>
          <w:sz w:val="22"/>
        </w:rPr>
        <w:t xml:space="preserve"> being provided to cover the next 3 months</w:t>
      </w:r>
      <w:r w:rsidR="00B42ECB">
        <w:rPr>
          <w:rFonts w:ascii="Calibri" w:hAnsi="Calibri"/>
          <w:sz w:val="22"/>
        </w:rPr>
        <w:t xml:space="preserve"> of projected disbursements</w:t>
      </w:r>
      <w:r w:rsidRPr="00DC5946">
        <w:rPr>
          <w:rFonts w:ascii="Calibri" w:hAnsi="Calibri"/>
          <w:sz w:val="22"/>
        </w:rPr>
        <w:t>. Like any payment, each voucher will</w:t>
      </w:r>
      <w:r w:rsidR="00B42ECB">
        <w:rPr>
          <w:rFonts w:ascii="Calibri" w:hAnsi="Calibri"/>
          <w:sz w:val="22"/>
        </w:rPr>
        <w:t xml:space="preserve"> need</w:t>
      </w:r>
      <w:r w:rsidRPr="00DC5946">
        <w:rPr>
          <w:rFonts w:ascii="Calibri" w:hAnsi="Calibri"/>
          <w:sz w:val="22"/>
        </w:rPr>
        <w:t xml:space="preserve"> be approved by the OSC </w:t>
      </w:r>
      <w:r w:rsidR="00CA37A7">
        <w:rPr>
          <w:rFonts w:ascii="Calibri" w:hAnsi="Calibri"/>
          <w:sz w:val="22"/>
        </w:rPr>
        <w:t>V</w:t>
      </w:r>
      <w:r w:rsidRPr="00DC5946">
        <w:rPr>
          <w:rFonts w:ascii="Calibri" w:hAnsi="Calibri"/>
          <w:sz w:val="22"/>
        </w:rPr>
        <w:t xml:space="preserve">oucher </w:t>
      </w:r>
      <w:r w:rsidR="00CA37A7">
        <w:rPr>
          <w:rFonts w:ascii="Calibri" w:hAnsi="Calibri"/>
          <w:sz w:val="22"/>
        </w:rPr>
        <w:t>Audit T</w:t>
      </w:r>
      <w:r w:rsidRPr="00DC5946">
        <w:rPr>
          <w:rFonts w:ascii="Calibri" w:hAnsi="Calibri"/>
          <w:sz w:val="22"/>
        </w:rPr>
        <w:t xml:space="preserve">eam. </w:t>
      </w:r>
    </w:p>
    <w:p w14:paraId="691656FE" w14:textId="584D697A" w:rsidR="008A7190" w:rsidRDefault="00C21BE6" w:rsidP="00DC5946">
      <w:pPr>
        <w:spacing w:after="240" w:line="360" w:lineRule="auto"/>
        <w:ind w:left="450"/>
        <w:rPr>
          <w:rFonts w:ascii="Calibri" w:hAnsi="Calibri"/>
          <w:sz w:val="22"/>
        </w:rPr>
      </w:pPr>
      <w:r>
        <w:rPr>
          <w:rFonts w:ascii="Calibri" w:hAnsi="Calibri"/>
          <w:sz w:val="22"/>
        </w:rPr>
        <w:t>A</w:t>
      </w:r>
      <w:r w:rsidR="00DC5946" w:rsidRPr="00DC5946">
        <w:rPr>
          <w:rFonts w:ascii="Calibri" w:hAnsi="Calibri"/>
          <w:sz w:val="22"/>
        </w:rPr>
        <w:t>ttached</w:t>
      </w:r>
      <w:r w:rsidR="008A7190">
        <w:rPr>
          <w:rFonts w:ascii="Calibri" w:hAnsi="Calibri"/>
          <w:sz w:val="22"/>
        </w:rPr>
        <w:t xml:space="preserve"> to this memo you will find: </w:t>
      </w:r>
    </w:p>
    <w:p w14:paraId="7E94E39D" w14:textId="609D77CE" w:rsidR="008A7190" w:rsidRPr="008A7190" w:rsidRDefault="008A7190" w:rsidP="008A7190">
      <w:pPr>
        <w:pStyle w:val="ListParagraph"/>
        <w:numPr>
          <w:ilvl w:val="0"/>
          <w:numId w:val="1"/>
        </w:numPr>
        <w:spacing w:after="240" w:line="360" w:lineRule="auto"/>
        <w:rPr>
          <w:rFonts w:ascii="Calibri" w:hAnsi="Calibri"/>
          <w:sz w:val="22"/>
        </w:rPr>
      </w:pPr>
      <w:r w:rsidRPr="008A7190">
        <w:rPr>
          <w:rFonts w:ascii="Calibri" w:hAnsi="Calibri"/>
          <w:sz w:val="22"/>
        </w:rPr>
        <w:t xml:space="preserve">A completed Office of the State Comptroller Bureau of Contracts Construction 30 Day Review Submission Checklist. </w:t>
      </w:r>
    </w:p>
    <w:p w14:paraId="0FDF3088" w14:textId="1409F2DB" w:rsidR="008A7190" w:rsidRPr="008A7190" w:rsidRDefault="008A7190" w:rsidP="008A7190">
      <w:pPr>
        <w:pStyle w:val="ListParagraph"/>
        <w:numPr>
          <w:ilvl w:val="0"/>
          <w:numId w:val="1"/>
        </w:numPr>
        <w:spacing w:after="240" w:line="360" w:lineRule="auto"/>
        <w:rPr>
          <w:rFonts w:ascii="Calibri" w:hAnsi="Calibri"/>
          <w:sz w:val="22"/>
        </w:rPr>
      </w:pPr>
      <w:r w:rsidRPr="008A7190">
        <w:rPr>
          <w:rFonts w:ascii="Calibri" w:hAnsi="Calibri"/>
          <w:sz w:val="22"/>
        </w:rPr>
        <w:t>A fully approved copy of the Residence Hall Program Capital Project Budget Request Form.</w:t>
      </w:r>
    </w:p>
    <w:p w14:paraId="37421BF7" w14:textId="326519BB" w:rsidR="008A7190" w:rsidRPr="008A7190" w:rsidRDefault="008A7190" w:rsidP="008A7190">
      <w:pPr>
        <w:pStyle w:val="ListParagraph"/>
        <w:numPr>
          <w:ilvl w:val="0"/>
          <w:numId w:val="1"/>
        </w:numPr>
        <w:spacing w:after="240" w:line="360" w:lineRule="auto"/>
        <w:rPr>
          <w:rFonts w:ascii="Calibri" w:hAnsi="Calibri"/>
          <w:sz w:val="22"/>
        </w:rPr>
      </w:pPr>
      <w:r w:rsidRPr="008A7190">
        <w:rPr>
          <w:rFonts w:ascii="Calibri" w:hAnsi="Calibri"/>
          <w:sz w:val="22"/>
        </w:rPr>
        <w:t xml:space="preserve">A copy of the 1997 MOU between DASNY and SUNY. </w:t>
      </w:r>
    </w:p>
    <w:p w14:paraId="61FFBE90" w14:textId="6B98F12C" w:rsidR="00A02FA5" w:rsidRPr="00DF6FE2" w:rsidRDefault="00A02FA5" w:rsidP="00DC5946">
      <w:pPr>
        <w:spacing w:after="240" w:line="360" w:lineRule="auto"/>
        <w:ind w:left="450"/>
        <w:rPr>
          <w:rFonts w:ascii="Calibri" w:hAnsi="Calibri"/>
          <w:sz w:val="22"/>
        </w:rPr>
      </w:pPr>
    </w:p>
    <w:sectPr w:rsidR="00A02FA5" w:rsidRPr="00DF6FE2" w:rsidSect="00D4262A">
      <w:pgSz w:w="12240" w:h="15840"/>
      <w:pgMar w:top="1440" w:right="1800" w:bottom="21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aux Pro-Regular">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7500D"/>
    <w:multiLevelType w:val="hybridMultilevel"/>
    <w:tmpl w:val="716A5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A5"/>
    <w:rsid w:val="00004611"/>
    <w:rsid w:val="00046F21"/>
    <w:rsid w:val="00084811"/>
    <w:rsid w:val="000D15FA"/>
    <w:rsid w:val="0011224D"/>
    <w:rsid w:val="00163D5D"/>
    <w:rsid w:val="0019602B"/>
    <w:rsid w:val="001D0D7E"/>
    <w:rsid w:val="001E3144"/>
    <w:rsid w:val="00203D1B"/>
    <w:rsid w:val="002E6D0D"/>
    <w:rsid w:val="002F4F4B"/>
    <w:rsid w:val="003B03C7"/>
    <w:rsid w:val="003B5973"/>
    <w:rsid w:val="003D5898"/>
    <w:rsid w:val="003F2E5C"/>
    <w:rsid w:val="00440D5E"/>
    <w:rsid w:val="00466461"/>
    <w:rsid w:val="00494E64"/>
    <w:rsid w:val="005405CB"/>
    <w:rsid w:val="005406E3"/>
    <w:rsid w:val="0055439B"/>
    <w:rsid w:val="00574E50"/>
    <w:rsid w:val="005870B0"/>
    <w:rsid w:val="005A0634"/>
    <w:rsid w:val="005A644E"/>
    <w:rsid w:val="005B61D4"/>
    <w:rsid w:val="005C6A4E"/>
    <w:rsid w:val="005C7305"/>
    <w:rsid w:val="005E6E7E"/>
    <w:rsid w:val="005F592A"/>
    <w:rsid w:val="006164C2"/>
    <w:rsid w:val="006C7E96"/>
    <w:rsid w:val="0077494E"/>
    <w:rsid w:val="00785A98"/>
    <w:rsid w:val="007E329D"/>
    <w:rsid w:val="007F6446"/>
    <w:rsid w:val="00894558"/>
    <w:rsid w:val="008A504C"/>
    <w:rsid w:val="008A7190"/>
    <w:rsid w:val="008C79AA"/>
    <w:rsid w:val="00A00F6F"/>
    <w:rsid w:val="00A02110"/>
    <w:rsid w:val="00A02FA5"/>
    <w:rsid w:val="00A84A05"/>
    <w:rsid w:val="00AA31BA"/>
    <w:rsid w:val="00AA762A"/>
    <w:rsid w:val="00B06B79"/>
    <w:rsid w:val="00B42ECB"/>
    <w:rsid w:val="00B76808"/>
    <w:rsid w:val="00B842DF"/>
    <w:rsid w:val="00B9256C"/>
    <w:rsid w:val="00BA2059"/>
    <w:rsid w:val="00BB4A64"/>
    <w:rsid w:val="00BC7171"/>
    <w:rsid w:val="00C21BE6"/>
    <w:rsid w:val="00C442F9"/>
    <w:rsid w:val="00CA37A7"/>
    <w:rsid w:val="00CD5686"/>
    <w:rsid w:val="00D15D76"/>
    <w:rsid w:val="00D4262A"/>
    <w:rsid w:val="00D52F7C"/>
    <w:rsid w:val="00D77FFD"/>
    <w:rsid w:val="00D82998"/>
    <w:rsid w:val="00DB67B0"/>
    <w:rsid w:val="00DC5946"/>
    <w:rsid w:val="00DF60E7"/>
    <w:rsid w:val="00DF6FE2"/>
    <w:rsid w:val="00E203B4"/>
    <w:rsid w:val="00E214FF"/>
    <w:rsid w:val="00E266A2"/>
    <w:rsid w:val="00E51399"/>
    <w:rsid w:val="00E9676D"/>
    <w:rsid w:val="00EB71DD"/>
    <w:rsid w:val="00EF128D"/>
    <w:rsid w:val="00F61561"/>
    <w:rsid w:val="00F82554"/>
    <w:rsid w:val="00FB79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C49A"/>
  <w15:docId w15:val="{FE3921FA-DB51-4AAE-940E-A250085C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94E"/>
    <w:rPr>
      <w:rFonts w:ascii="Segoe UI" w:eastAsia="Times New Roman" w:hAnsi="Segoe UI" w:cs="Segoe UI"/>
      <w:sz w:val="18"/>
      <w:szCs w:val="18"/>
    </w:rPr>
  </w:style>
  <w:style w:type="paragraph" w:styleId="ListParagraph">
    <w:name w:val="List Paragraph"/>
    <w:basedOn w:val="Normal"/>
    <w:uiPriority w:val="34"/>
    <w:qFormat/>
    <w:rsid w:val="008A7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4AB8C24586C447B9B6B35DA2D81899" ma:contentTypeVersion="13" ma:contentTypeDescription="Create a new document." ma:contentTypeScope="" ma:versionID="cb4134ea59075fcf1712a9b765f86569">
  <xsd:schema xmlns:xsd="http://www.w3.org/2001/XMLSchema" xmlns:xs="http://www.w3.org/2001/XMLSchema" xmlns:p="http://schemas.microsoft.com/office/2006/metadata/properties" xmlns:ns3="cce9fbe8-e2ac-4011-9dff-b94b6a4fdceb" xmlns:ns4="2a97cd30-65f2-4c3e-84f4-b28123b56819" targetNamespace="http://schemas.microsoft.com/office/2006/metadata/properties" ma:root="true" ma:fieldsID="b1a8be98f0f497b1b7731cf3ab95b34b" ns3:_="" ns4:_="">
    <xsd:import namespace="cce9fbe8-e2ac-4011-9dff-b94b6a4fdceb"/>
    <xsd:import namespace="2a97cd30-65f2-4c3e-84f4-b28123b56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9fbe8-e2ac-4011-9dff-b94b6a4fd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7cd30-65f2-4c3e-84f4-b28123b568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DA6F9-7DA7-4206-97BD-E05159E7103B}">
  <ds:schemaRefs>
    <ds:schemaRef ds:uri="http://schemas.openxmlformats.org/officeDocument/2006/bibliography"/>
  </ds:schemaRefs>
</ds:datastoreItem>
</file>

<file path=customXml/itemProps2.xml><?xml version="1.0" encoding="utf-8"?>
<ds:datastoreItem xmlns:ds="http://schemas.openxmlformats.org/officeDocument/2006/customXml" ds:itemID="{FC7B23C1-F8ED-4DA7-835F-ACF827E08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9fbe8-e2ac-4011-9dff-b94b6a4fdceb"/>
    <ds:schemaRef ds:uri="2a97cd30-65f2-4c3e-84f4-b28123b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C3209-D672-4492-8046-1DA957590743}">
  <ds:schemaRefs>
    <ds:schemaRef ds:uri="http://schemas.microsoft.com/sharepoint/v3/contenttype/forms"/>
  </ds:schemaRefs>
</ds:datastoreItem>
</file>

<file path=customXml/itemProps4.xml><?xml version="1.0" encoding="utf-8"?>
<ds:datastoreItem xmlns:ds="http://schemas.openxmlformats.org/officeDocument/2006/customXml" ds:itemID="{5AB6252E-B383-4867-914D-1BDE685B20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1908</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Klopfer</dc:creator>
  <cp:keywords/>
  <cp:lastModifiedBy>Miller, Jessica</cp:lastModifiedBy>
  <cp:revision>4</cp:revision>
  <cp:lastPrinted>2011-02-11T17:21:00Z</cp:lastPrinted>
  <dcterms:created xsi:type="dcterms:W3CDTF">2020-12-04T16:30:00Z</dcterms:created>
  <dcterms:modified xsi:type="dcterms:W3CDTF">2022-01-31T14:44:00Z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0x0101004A4AB8C24586C447B9B6B35DA2D81899</vt:lpwstr>
  </property>
</Properties>
</file>