
<file path=[Content_Types].xml><?xml version="1.0" encoding="utf-8"?>
<Types xmlns="http://schemas.openxmlformats.org/package/2006/content-types">
  <Default Extension="bin"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A635EB" w14:textId="77777777" w:rsidR="004D7311" w:rsidRPr="00626EC1" w:rsidRDefault="004D7311" w:rsidP="005C12BE">
      <w:pPr>
        <w:pStyle w:val="Title"/>
      </w:pPr>
      <w:r>
        <w:t>Cultural Relevance and Inclusiveness &amp; Responding to Sexual Violence</w:t>
      </w:r>
    </w:p>
    <w:p w14:paraId="6A545F36" w14:textId="77777777" w:rsidR="004A0253" w:rsidRDefault="00901ABF">
      <w:pPr>
        <w:pStyle w:val="Heading1"/>
      </w:pPr>
      <w:r>
        <w:t>1. Introduction</w:t>
      </w:r>
    </w:p>
    <w:p w14:paraId="41D594E6" w14:textId="77777777" w:rsidR="004A0253" w:rsidRDefault="00901ABF">
      <w:pPr>
        <w:pStyle w:val="Heading2"/>
      </w:pPr>
      <w:r>
        <w:t>1.1 SCI Welcome &amp; Legal disclaimer</w:t>
      </w:r>
    </w:p>
    <w:p w14:paraId="39BE262E" w14:textId="77777777" w:rsidR="004A0253" w:rsidRDefault="00901ABF">
      <w:r>
        <w:rPr>
          <w:noProof/>
        </w:rPr>
        <w:drawing>
          <wp:inline distT="0" distB="0" distL="0" distR="0" wp14:anchorId="1766E66B" wp14:editId="739ADEEC">
            <wp:extent cx="3705225" cy="2781300"/>
            <wp:effectExtent l="0" t="0" r="0" b="0"/>
            <wp:docPr id="1" name="Slide image" descr="Disclaimer slide explaining that all training resources provided by the SUNY Student Conduct Institute (SCI) are not to be duplicated or shared without written consent from the SCI. This training does not create an attorney-client relationship and if you require legal advice we recommend consulting your own attorney or campus coun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de image" descr="Disclaimer slide explaining that all training resources provided by the SUNY Student Conduct Institute (SCI) are not to be duplicated or shared without written consent from the SCI. This training does not create an attorney-client relationship and if you require legal advice we recommend consulting your own attorney or campus counsel."/>
                    <pic:cNvPicPr/>
                  </pic:nvPicPr>
                  <pic:blipFill>
                    <a:blip r:embed="rId9" cstate="print"/>
                    <a:stretch>
                      <a:fillRect/>
                    </a:stretch>
                  </pic:blipFill>
                  <pic:spPr>
                    <a:xfrm>
                      <a:off x="0" y="0"/>
                      <a:ext cx="3705225" cy="2781300"/>
                    </a:xfrm>
                    <a:prstGeom prst="rect">
                      <a:avLst/>
                    </a:prstGeom>
                  </pic:spPr>
                </pic:pic>
              </a:graphicData>
            </a:graphic>
          </wp:inline>
        </w:drawing>
      </w:r>
    </w:p>
    <w:p w14:paraId="4ECB7865" w14:textId="77777777" w:rsidR="004A0253" w:rsidRDefault="00901ABF">
      <w:r>
        <w:rPr>
          <w:b/>
        </w:rPr>
        <w:t>Notes:</w:t>
      </w:r>
    </w:p>
    <w:p w14:paraId="732C7A8C" w14:textId="77777777" w:rsidR="00901ABF" w:rsidRDefault="00901ABF">
      <w:pPr>
        <w:widowControl w:val="0"/>
        <w:autoSpaceDE w:val="0"/>
        <w:autoSpaceDN w:val="0"/>
        <w:adjustRightInd w:val="0"/>
        <w:spacing w:after="0" w:line="240" w:lineRule="auto"/>
        <w:rPr>
          <w:rFonts w:ascii="Microsoft Sans Serif" w:hAnsi="Microsoft Sans Serif" w:cs="Microsoft Sans Serif"/>
          <w:kern w:val="0"/>
          <w:sz w:val="17"/>
          <w:szCs w:val="17"/>
        </w:rPr>
      </w:pPr>
    </w:p>
    <w:p w14:paraId="4C59688A" w14:textId="77777777" w:rsidR="004A0253" w:rsidRDefault="004A0253"/>
    <w:p w14:paraId="1D0C6388" w14:textId="77777777" w:rsidR="004A0253" w:rsidRDefault="00901ABF">
      <w:pPr>
        <w:pStyle w:val="Heading2"/>
      </w:pPr>
      <w:r>
        <w:lastRenderedPageBreak/>
        <w:t>1.2 Title Slide</w:t>
      </w:r>
    </w:p>
    <w:p w14:paraId="7F53135F" w14:textId="77777777" w:rsidR="004A0253" w:rsidRDefault="00901ABF">
      <w:r>
        <w:rPr>
          <w:noProof/>
        </w:rPr>
        <w:drawing>
          <wp:inline distT="0" distB="0" distL="0" distR="0" wp14:anchorId="61A252E3" wp14:editId="61F228EC">
            <wp:extent cx="3705225" cy="2781300"/>
            <wp:effectExtent l="0" t="0" r="0" b="0"/>
            <wp:docPr id="2" name="Slide image" descr="Introductory slide titled &quot;Cultural Relevance, Inclusiveness and Responding to Sexual and Interpersonal Violence on Campus,&quot; with two photographs of trainers trainers. The trainers are Abbey Marr and Roma Sha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de image" descr="Introductory slide titled &quot;Cultural Relevance, Inclusiveness and Responding to Sexual and Interpersonal Violence on Campus,&quot; with two photographs of trainers trainers. The trainers are Abbey Marr and Roma Shah. "/>
                    <pic:cNvPicPr/>
                  </pic:nvPicPr>
                  <pic:blipFill>
                    <a:blip r:embed="rId10" cstate="print"/>
                    <a:stretch>
                      <a:fillRect/>
                    </a:stretch>
                  </pic:blipFill>
                  <pic:spPr>
                    <a:xfrm>
                      <a:off x="0" y="0"/>
                      <a:ext cx="3705225" cy="2781300"/>
                    </a:xfrm>
                    <a:prstGeom prst="rect">
                      <a:avLst/>
                    </a:prstGeom>
                  </pic:spPr>
                </pic:pic>
              </a:graphicData>
            </a:graphic>
          </wp:inline>
        </w:drawing>
      </w:r>
    </w:p>
    <w:p w14:paraId="311B21D8" w14:textId="77777777" w:rsidR="004A0253" w:rsidRDefault="00901ABF">
      <w:r>
        <w:rPr>
          <w:b/>
        </w:rPr>
        <w:t>Notes:</w:t>
      </w:r>
    </w:p>
    <w:p w14:paraId="7E247005" w14:textId="77777777" w:rsidR="00901ABF" w:rsidRDefault="00901ABF">
      <w:pPr>
        <w:widowControl w:val="0"/>
        <w:autoSpaceDE w:val="0"/>
        <w:autoSpaceDN w:val="0"/>
        <w:adjustRightInd w:val="0"/>
        <w:spacing w:after="0" w:line="240" w:lineRule="auto"/>
        <w:rPr>
          <w:rFonts w:ascii="Microsoft Sans Serif" w:hAnsi="Microsoft Sans Serif" w:cs="Microsoft Sans Serif"/>
          <w:kern w:val="0"/>
          <w:sz w:val="17"/>
          <w:szCs w:val="17"/>
        </w:rPr>
      </w:pPr>
    </w:p>
    <w:p w14:paraId="56EA6348" w14:textId="77777777" w:rsidR="004A0253" w:rsidRDefault="004A0253"/>
    <w:p w14:paraId="78EF978C" w14:textId="77777777" w:rsidR="004A0253" w:rsidRDefault="00901ABF">
      <w:pPr>
        <w:pStyle w:val="Heading2"/>
      </w:pPr>
      <w:r>
        <w:t>1.3 Overview</w:t>
      </w:r>
    </w:p>
    <w:p w14:paraId="1A95C043" w14:textId="77777777" w:rsidR="004A0253" w:rsidRDefault="00901ABF">
      <w:r>
        <w:rPr>
          <w:noProof/>
        </w:rPr>
        <w:drawing>
          <wp:inline distT="0" distB="0" distL="0" distR="0" wp14:anchorId="2B52BB43" wp14:editId="17AB315C">
            <wp:extent cx="3705225" cy="2781300"/>
            <wp:effectExtent l="0" t="0" r="0" b="0"/>
            <wp:docPr id="3" name="Slide image" descr="Slide titled &quot;Overview,&quot; with three learning objectives listed. The learning objectives are as follows, &quot;One: Learn VAWA's requirements for cultural relevance and inclusively of diverse communities and identities,&quot; &quot;Two: Understand frameworks for approaching cultural relevance and inclusion,&quot; &quot;Three: Review examples of how these frameworks can inform student conduct work and our responses to sexual and interpersonal violenc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de image" descr="Slide titled &quot;Overview,&quot; with three learning objectives listed. The learning objectives are as follows, &quot;One: Learn VAWA's requirements for cultural relevance and inclusively of diverse communities and identities,&quot; &quot;Two: Understand frameworks for approaching cultural relevance and inclusion,&quot; &quot;Three: Review examples of how these frameworks can inform student conduct work and our responses to sexual and interpersonal violence.&quot;"/>
                    <pic:cNvPicPr/>
                  </pic:nvPicPr>
                  <pic:blipFill>
                    <a:blip r:embed="rId11" cstate="print"/>
                    <a:stretch>
                      <a:fillRect/>
                    </a:stretch>
                  </pic:blipFill>
                  <pic:spPr>
                    <a:xfrm>
                      <a:off x="0" y="0"/>
                      <a:ext cx="3705225" cy="2781300"/>
                    </a:xfrm>
                    <a:prstGeom prst="rect">
                      <a:avLst/>
                    </a:prstGeom>
                  </pic:spPr>
                </pic:pic>
              </a:graphicData>
            </a:graphic>
          </wp:inline>
        </w:drawing>
      </w:r>
    </w:p>
    <w:p w14:paraId="7DFD7B1D" w14:textId="77777777" w:rsidR="004A0253" w:rsidRDefault="00901ABF">
      <w:r>
        <w:rPr>
          <w:b/>
        </w:rPr>
        <w:t>Notes:</w:t>
      </w:r>
    </w:p>
    <w:p w14:paraId="2275B636" w14:textId="77777777" w:rsidR="00901ABF" w:rsidRDefault="00901ABF">
      <w:pPr>
        <w:widowControl w:val="0"/>
        <w:autoSpaceDE w:val="0"/>
        <w:autoSpaceDN w:val="0"/>
        <w:adjustRightInd w:val="0"/>
        <w:spacing w:after="0" w:line="240" w:lineRule="auto"/>
        <w:rPr>
          <w:rFonts w:ascii="Microsoft Sans Serif" w:hAnsi="Microsoft Sans Serif" w:cs="Microsoft Sans Serif"/>
          <w:kern w:val="0"/>
          <w:sz w:val="17"/>
          <w:szCs w:val="17"/>
        </w:rPr>
      </w:pPr>
    </w:p>
    <w:p w14:paraId="18DC0A70" w14:textId="77777777" w:rsidR="004A0253" w:rsidRDefault="004A0253"/>
    <w:p w14:paraId="4C8935D7" w14:textId="77777777" w:rsidR="004A0253" w:rsidRDefault="00901ABF">
      <w:pPr>
        <w:pStyle w:val="Heading2"/>
      </w:pPr>
      <w:r>
        <w:lastRenderedPageBreak/>
        <w:t>1.4 VAWA's Requirements</w:t>
      </w:r>
    </w:p>
    <w:p w14:paraId="46E35A10" w14:textId="77777777" w:rsidR="004A0253" w:rsidRDefault="00901ABF">
      <w:r>
        <w:rPr>
          <w:noProof/>
        </w:rPr>
        <w:drawing>
          <wp:inline distT="0" distB="0" distL="0" distR="0" wp14:anchorId="1FE6C94A" wp14:editId="331BAF40">
            <wp:extent cx="3705225" cy="2781300"/>
            <wp:effectExtent l="0" t="0" r="0" b="0"/>
            <wp:docPr id="4" name="Slide image" descr="Slide titled &quot;Introduction,&quot; with information about VAWA and Cultural Relevance. According to the Notice of Proposed Rulemaking, programs should focus on changing the social norms and stereotypes that create conditions inw which sexual violence occurs. Additionally, these programs must be tailored to the individual communities that each school serves to ensure the are culturally relevant and inclusive, and responsive to all parts of the school's commun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de image" descr="Slide titled &quot;Introduction,&quot; with information about VAWA and Cultural Relevance. According to the Notice of Proposed Rulemaking, programs should focus on changing the social norms and stereotypes that create conditions inw which sexual violence occurs. Additionally, these programs must be tailored to the individual communities that each school serves to ensure the are culturally relevant and inclusive, and responsive to all parts of the school's community. "/>
                    <pic:cNvPicPr/>
                  </pic:nvPicPr>
                  <pic:blipFill>
                    <a:blip r:embed="rId12" cstate="print"/>
                    <a:stretch>
                      <a:fillRect/>
                    </a:stretch>
                  </pic:blipFill>
                  <pic:spPr>
                    <a:xfrm>
                      <a:off x="0" y="0"/>
                      <a:ext cx="3705225" cy="2781300"/>
                    </a:xfrm>
                    <a:prstGeom prst="rect">
                      <a:avLst/>
                    </a:prstGeom>
                  </pic:spPr>
                </pic:pic>
              </a:graphicData>
            </a:graphic>
          </wp:inline>
        </w:drawing>
      </w:r>
    </w:p>
    <w:p w14:paraId="1B02F34D" w14:textId="77777777" w:rsidR="004A0253" w:rsidRDefault="00901ABF">
      <w:pPr>
        <w:pStyle w:val="Heading2"/>
      </w:pPr>
      <w:r>
        <w:t>1.5 Demographics: students</w:t>
      </w:r>
    </w:p>
    <w:p w14:paraId="5B3CA27E" w14:textId="77777777" w:rsidR="004A0253" w:rsidRDefault="00901ABF">
      <w:r>
        <w:rPr>
          <w:noProof/>
        </w:rPr>
        <w:drawing>
          <wp:inline distT="0" distB="0" distL="0" distR="0" wp14:anchorId="73C4EE73" wp14:editId="25BF1D0E">
            <wp:extent cx="3705225" cy="2781300"/>
            <wp:effectExtent l="0" t="0" r="9525" b="0"/>
            <wp:docPr id="5" name="Slide imag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de image">
                      <a:extLst>
                        <a:ext uri="{C183D7F6-B498-43B3-948B-1728B52AA6E4}">
                          <adec:decorative xmlns:adec="http://schemas.microsoft.com/office/drawing/2017/decorative" val="1"/>
                        </a:ext>
                      </a:extLst>
                    </pic:cNvPr>
                    <pic:cNvPicPr/>
                  </pic:nvPicPr>
                  <pic:blipFill>
                    <a:blip r:embed="rId13" cstate="print"/>
                    <a:stretch>
                      <a:fillRect/>
                    </a:stretch>
                  </pic:blipFill>
                  <pic:spPr>
                    <a:xfrm>
                      <a:off x="0" y="0"/>
                      <a:ext cx="3705225" cy="2781300"/>
                    </a:xfrm>
                    <a:prstGeom prst="rect">
                      <a:avLst/>
                    </a:prstGeom>
                  </pic:spPr>
                </pic:pic>
              </a:graphicData>
            </a:graphic>
          </wp:inline>
        </w:drawing>
      </w:r>
    </w:p>
    <w:p w14:paraId="4032AD97" w14:textId="77777777" w:rsidR="004A0253" w:rsidRDefault="00901ABF">
      <w:pPr>
        <w:pStyle w:val="Heading2"/>
      </w:pPr>
      <w:r>
        <w:lastRenderedPageBreak/>
        <w:t>1.6 Demographics: Professionals</w:t>
      </w:r>
    </w:p>
    <w:p w14:paraId="733A5052" w14:textId="77777777" w:rsidR="004A0253" w:rsidRDefault="00901ABF">
      <w:r>
        <w:rPr>
          <w:noProof/>
        </w:rPr>
        <w:drawing>
          <wp:inline distT="0" distB="0" distL="0" distR="0" wp14:anchorId="64FCB86C" wp14:editId="63BCEED0">
            <wp:extent cx="3705225" cy="2781300"/>
            <wp:effectExtent l="0" t="0" r="9525" b="0"/>
            <wp:docPr id="6" name="Slide imag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de image">
                      <a:extLst>
                        <a:ext uri="{C183D7F6-B498-43B3-948B-1728B52AA6E4}">
                          <adec:decorative xmlns:adec="http://schemas.microsoft.com/office/drawing/2017/decorative" val="1"/>
                        </a:ext>
                      </a:extLst>
                    </pic:cNvPr>
                    <pic:cNvPicPr/>
                  </pic:nvPicPr>
                  <pic:blipFill>
                    <a:blip r:embed="rId14" cstate="print"/>
                    <a:stretch>
                      <a:fillRect/>
                    </a:stretch>
                  </pic:blipFill>
                  <pic:spPr>
                    <a:xfrm>
                      <a:off x="0" y="0"/>
                      <a:ext cx="3705225" cy="2781300"/>
                    </a:xfrm>
                    <a:prstGeom prst="rect">
                      <a:avLst/>
                    </a:prstGeom>
                  </pic:spPr>
                </pic:pic>
              </a:graphicData>
            </a:graphic>
          </wp:inline>
        </w:drawing>
      </w:r>
    </w:p>
    <w:p w14:paraId="1F284B28" w14:textId="77777777" w:rsidR="004A0253" w:rsidRDefault="00901ABF">
      <w:pPr>
        <w:pStyle w:val="Heading2"/>
      </w:pPr>
      <w:r>
        <w:t>1.7 VAWA and Cultural Relevance</w:t>
      </w:r>
    </w:p>
    <w:p w14:paraId="67D810A0" w14:textId="77777777" w:rsidR="004A0253" w:rsidRDefault="00901ABF">
      <w:r>
        <w:rPr>
          <w:noProof/>
        </w:rPr>
        <w:drawing>
          <wp:inline distT="0" distB="0" distL="0" distR="0" wp14:anchorId="4E3BF0CF" wp14:editId="665BEDB5">
            <wp:extent cx="3705225" cy="2781300"/>
            <wp:effectExtent l="0" t="0" r="0" b="0"/>
            <wp:docPr id="7" name="Slide image" descr="Slide titled &quot;VAWA and Cultural Relevance,&quot; with text about programs to prevent dating and domestic violence, sexual assault, and stalking. The programs have to be culturally relevant and inclusive of diverse communities and identities, sustainable, responsive to community needs, and informed by research. As recommended in the text, these programs should also be considered an environmental risk and protective factors as they occur on the individual, relationship, institutional, community and societal lev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de image" descr="Slide titled &quot;VAWA and Cultural Relevance,&quot; with text about programs to prevent dating and domestic violence, sexual assault, and stalking. The programs have to be culturally relevant and inclusive of diverse communities and identities, sustainable, responsive to community needs, and informed by research. As recommended in the text, these programs should also be considered an environmental risk and protective factors as they occur on the individual, relationship, institutional, community and societal levels"/>
                    <pic:cNvPicPr/>
                  </pic:nvPicPr>
                  <pic:blipFill>
                    <a:blip r:embed="rId15" cstate="print"/>
                    <a:stretch>
                      <a:fillRect/>
                    </a:stretch>
                  </pic:blipFill>
                  <pic:spPr>
                    <a:xfrm>
                      <a:off x="0" y="0"/>
                      <a:ext cx="3705225" cy="2781300"/>
                    </a:xfrm>
                    <a:prstGeom prst="rect">
                      <a:avLst/>
                    </a:prstGeom>
                  </pic:spPr>
                </pic:pic>
              </a:graphicData>
            </a:graphic>
          </wp:inline>
        </w:drawing>
      </w:r>
    </w:p>
    <w:p w14:paraId="6702B4D2" w14:textId="77777777" w:rsidR="004A0253" w:rsidRDefault="00901ABF">
      <w:pPr>
        <w:pStyle w:val="Heading1"/>
      </w:pPr>
      <w:r>
        <w:lastRenderedPageBreak/>
        <w:t>2. Key Concepts</w:t>
      </w:r>
    </w:p>
    <w:p w14:paraId="6DDFCF4D" w14:textId="77777777" w:rsidR="004A0253" w:rsidRDefault="00901ABF">
      <w:pPr>
        <w:pStyle w:val="Heading2"/>
      </w:pPr>
      <w:r>
        <w:t>2.1 Key Concepts</w:t>
      </w:r>
    </w:p>
    <w:p w14:paraId="3E20B635" w14:textId="77777777" w:rsidR="004A0253" w:rsidRDefault="00901ABF">
      <w:r>
        <w:rPr>
          <w:noProof/>
        </w:rPr>
        <w:drawing>
          <wp:inline distT="0" distB="0" distL="0" distR="0" wp14:anchorId="6C920C6A" wp14:editId="353D7939">
            <wp:extent cx="3705225" cy="2781300"/>
            <wp:effectExtent l="0" t="0" r="9525" b="0"/>
            <wp:docPr id="8" name="Slide imag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de image">
                      <a:extLst>
                        <a:ext uri="{C183D7F6-B498-43B3-948B-1728B52AA6E4}">
                          <adec:decorative xmlns:adec="http://schemas.microsoft.com/office/drawing/2017/decorative" val="1"/>
                        </a:ext>
                      </a:extLst>
                    </pic:cNvPr>
                    <pic:cNvPicPr/>
                  </pic:nvPicPr>
                  <pic:blipFill>
                    <a:blip r:embed="rId16" cstate="print"/>
                    <a:stretch>
                      <a:fillRect/>
                    </a:stretch>
                  </pic:blipFill>
                  <pic:spPr>
                    <a:xfrm>
                      <a:off x="0" y="0"/>
                      <a:ext cx="3705225" cy="2781300"/>
                    </a:xfrm>
                    <a:prstGeom prst="rect">
                      <a:avLst/>
                    </a:prstGeom>
                  </pic:spPr>
                </pic:pic>
              </a:graphicData>
            </a:graphic>
          </wp:inline>
        </w:drawing>
      </w:r>
    </w:p>
    <w:p w14:paraId="07FAE533" w14:textId="77777777" w:rsidR="004A0253" w:rsidRDefault="00901ABF">
      <w:r>
        <w:rPr>
          <w:b/>
        </w:rPr>
        <w:t>Notes:</w:t>
      </w:r>
    </w:p>
    <w:p w14:paraId="2E49841B" w14:textId="77777777" w:rsidR="00901ABF" w:rsidRDefault="00901ABF">
      <w:pPr>
        <w:widowControl w:val="0"/>
        <w:autoSpaceDE w:val="0"/>
        <w:autoSpaceDN w:val="0"/>
        <w:adjustRightInd w:val="0"/>
        <w:spacing w:after="0" w:line="240" w:lineRule="auto"/>
        <w:rPr>
          <w:rFonts w:ascii="Microsoft Sans Serif" w:hAnsi="Microsoft Sans Serif" w:cs="Microsoft Sans Serif"/>
          <w:kern w:val="0"/>
          <w:sz w:val="17"/>
          <w:szCs w:val="17"/>
        </w:rPr>
      </w:pPr>
      <w:r>
        <w:rPr>
          <w:rFonts w:cs="Calibri"/>
          <w:color w:val="000000"/>
          <w:kern w:val="0"/>
        </w:rPr>
        <w:t>Joe to review</w:t>
      </w:r>
    </w:p>
    <w:p w14:paraId="555DC916" w14:textId="77777777" w:rsidR="004A0253" w:rsidRDefault="004A0253"/>
    <w:p w14:paraId="09F84390" w14:textId="77777777" w:rsidR="004A0253" w:rsidRDefault="00901ABF">
      <w:pPr>
        <w:pStyle w:val="Heading2"/>
      </w:pPr>
      <w:r>
        <w:t>2.2 Terminology</w:t>
      </w:r>
    </w:p>
    <w:p w14:paraId="14449460" w14:textId="77777777" w:rsidR="004A0253" w:rsidRDefault="00901ABF">
      <w:r>
        <w:rPr>
          <w:noProof/>
        </w:rPr>
        <w:drawing>
          <wp:inline distT="0" distB="0" distL="0" distR="0" wp14:anchorId="39F328D5" wp14:editId="3EE5B0D7">
            <wp:extent cx="3705225" cy="2781300"/>
            <wp:effectExtent l="0" t="0" r="0" b="0"/>
            <wp:docPr id="9" name="Slide image" descr="Slidewith text box that lists five key definitions of: Diversity (used to describe both individual and group/social differences), Inclusion (beyond making sure the make up of our institutions is diverse to ensuring that everyone is truly afforded the opportunity to participate), Structural Oppression (the ways institutions and society are to prevent certain groups from equitable treatment), Privilege (an advantage that only one person or group of people has solely for being of that group), Social Determinants (conditions in which people are born, grow, live, work and age that could affect their health indica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de image" descr="Slidewith text box that lists five key definitions of: Diversity (used to describe both individual and group/social differences), Inclusion (beyond making sure the make up of our institutions is diverse to ensuring that everyone is truly afforded the opportunity to participate), Structural Oppression (the ways institutions and society are to prevent certain groups from equitable treatment), Privilege (an advantage that only one person or group of people has solely for being of that group), Social Determinants (conditions in which people are born, grow, live, work and age that could affect their health indicators)"/>
                    <pic:cNvPicPr/>
                  </pic:nvPicPr>
                  <pic:blipFill>
                    <a:blip r:embed="rId17" cstate="print"/>
                    <a:stretch>
                      <a:fillRect/>
                    </a:stretch>
                  </pic:blipFill>
                  <pic:spPr>
                    <a:xfrm>
                      <a:off x="0" y="0"/>
                      <a:ext cx="3705225" cy="2781300"/>
                    </a:xfrm>
                    <a:prstGeom prst="rect">
                      <a:avLst/>
                    </a:prstGeom>
                  </pic:spPr>
                </pic:pic>
              </a:graphicData>
            </a:graphic>
          </wp:inline>
        </w:drawing>
      </w:r>
    </w:p>
    <w:p w14:paraId="25FCEF08" w14:textId="77777777" w:rsidR="004A0253" w:rsidRDefault="00901ABF">
      <w:pPr>
        <w:pStyle w:val="Heading2"/>
      </w:pPr>
      <w:r>
        <w:lastRenderedPageBreak/>
        <w:t>2.3 Key Concepts: Bias</w:t>
      </w:r>
    </w:p>
    <w:p w14:paraId="736ADCAC" w14:textId="77777777" w:rsidR="004A0253" w:rsidRDefault="00901ABF">
      <w:r>
        <w:rPr>
          <w:noProof/>
        </w:rPr>
        <w:drawing>
          <wp:inline distT="0" distB="0" distL="0" distR="0" wp14:anchorId="407243A1" wp14:editId="2B2652FF">
            <wp:extent cx="3705225" cy="2781300"/>
            <wp:effectExtent l="0" t="0" r="0" b="0"/>
            <wp:docPr id="10" name="Slide image" descr="Slide titled &quot;Key Concepts: Bias,&quot; with three key points. The definition of bias is explained as a tendency among humans to make systematic decisions in some situations based on cognitive/internal factors and associations rather than evidence. The conscious bias are individuals who admit to conscious biases, are very clear about their beliefs, feelings, and attitudes toward other, their associated behaviors are intentional. Finally, unconsious or implicit bias is unintentional or subconcious prejudicial attitudes toward a group based on stereotypes that have become invisible to the hold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ide image" descr="Slide titled &quot;Key Concepts: Bias,&quot; with three key points. The definition of bias is explained as a tendency among humans to make systematic decisions in some situations based on cognitive/internal factors and associations rather than evidence. The conscious bias are individuals who admit to conscious biases, are very clear about their beliefs, feelings, and attitudes toward other, their associated behaviors are intentional. Finally, unconsious or implicit bias is unintentional or subconcious prejudicial attitudes toward a group based on stereotypes that have become invisible to the holder. "/>
                    <pic:cNvPicPr/>
                  </pic:nvPicPr>
                  <pic:blipFill>
                    <a:blip r:embed="rId18" cstate="print"/>
                    <a:stretch>
                      <a:fillRect/>
                    </a:stretch>
                  </pic:blipFill>
                  <pic:spPr>
                    <a:xfrm>
                      <a:off x="0" y="0"/>
                      <a:ext cx="3705225" cy="2781300"/>
                    </a:xfrm>
                    <a:prstGeom prst="rect">
                      <a:avLst/>
                    </a:prstGeom>
                  </pic:spPr>
                </pic:pic>
              </a:graphicData>
            </a:graphic>
          </wp:inline>
        </w:drawing>
      </w:r>
    </w:p>
    <w:p w14:paraId="65A0995C" w14:textId="77777777" w:rsidR="004A0253" w:rsidRDefault="00901ABF">
      <w:pPr>
        <w:pStyle w:val="Heading2"/>
      </w:pPr>
      <w:r>
        <w:t>2.4 Cultural Competency</w:t>
      </w:r>
    </w:p>
    <w:p w14:paraId="5D284765" w14:textId="77777777" w:rsidR="004A0253" w:rsidRDefault="00901ABF">
      <w:r>
        <w:rPr>
          <w:noProof/>
        </w:rPr>
        <w:drawing>
          <wp:inline distT="0" distB="0" distL="0" distR="0" wp14:anchorId="7A993F91" wp14:editId="0A1BDE29">
            <wp:extent cx="3705225" cy="2781300"/>
            <wp:effectExtent l="0" t="0" r="0" b="0"/>
            <wp:docPr id="11" name="Slide image" descr="Slide titled &quot;Cultural Competence,&quot; with three bullets underneath about being aware of one's own culture or cultures. The text slide contains additional details of cultural competence is having behaviors and attitudes that enable one to interact effectively with faculty, staff and stuents from various cultural backgrounds. At the bottom of the slide there is a crucial note about the capacity to value diversity, conduct self-assessment, manager the dynamics of difference, acquire cultural knowledge checks and adapt to diversity and cultural contexts of the communities in which they res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lide image" descr="Slide titled &quot;Cultural Competence,&quot; with three bullets underneath about being aware of one's own culture or cultures. The text slide contains additional details of cultural competence is having behaviors and attitudes that enable one to interact effectively with faculty, staff and stuents from various cultural backgrounds. At the bottom of the slide there is a crucial note about the capacity to value diversity, conduct self-assessment, manager the dynamics of difference, acquire cultural knowledge checks and adapt to diversity and cultural contexts of the communities in which they reside. "/>
                    <pic:cNvPicPr/>
                  </pic:nvPicPr>
                  <pic:blipFill>
                    <a:blip r:embed="rId19" cstate="print"/>
                    <a:stretch>
                      <a:fillRect/>
                    </a:stretch>
                  </pic:blipFill>
                  <pic:spPr>
                    <a:xfrm>
                      <a:off x="0" y="0"/>
                      <a:ext cx="3705225" cy="2781300"/>
                    </a:xfrm>
                    <a:prstGeom prst="rect">
                      <a:avLst/>
                    </a:prstGeom>
                  </pic:spPr>
                </pic:pic>
              </a:graphicData>
            </a:graphic>
          </wp:inline>
        </w:drawing>
      </w:r>
    </w:p>
    <w:p w14:paraId="6D47D9E3" w14:textId="77777777" w:rsidR="004A0253" w:rsidRDefault="00901ABF">
      <w:pPr>
        <w:pStyle w:val="Heading2"/>
      </w:pPr>
      <w:r>
        <w:lastRenderedPageBreak/>
        <w:t>2.5 Cultural Humility</w:t>
      </w:r>
    </w:p>
    <w:p w14:paraId="787EBE64" w14:textId="77777777" w:rsidR="004A0253" w:rsidRDefault="00901ABF">
      <w:r>
        <w:rPr>
          <w:noProof/>
        </w:rPr>
        <w:drawing>
          <wp:inline distT="0" distB="0" distL="0" distR="0" wp14:anchorId="642893D6" wp14:editId="2F5110E4">
            <wp:extent cx="3705225" cy="2781300"/>
            <wp:effectExtent l="0" t="0" r="0" b="0"/>
            <wp:docPr id="12" name="Slide image" descr="Slide titled &quot;Cultural Humility,&quot; with three bullet points explaining the capacity to maintain an interpersonal stance that is other-oriented in relation to aspects of cultural identity that are most important to the other person. The three bullets explain the importance of a lifelong commitment to self-evaluation, desire to fix power imbalances where none ought to exist, and aspiring to develop partnerships and think beyond the individ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lide image" descr="Slide titled &quot;Cultural Humility,&quot; with three bullet points explaining the capacity to maintain an interpersonal stance that is other-oriented in relation to aspects of cultural identity that are most important to the other person. The three bullets explain the importance of a lifelong commitment to self-evaluation, desire to fix power imbalances where none ought to exist, and aspiring to develop partnerships and think beyond the individual"/>
                    <pic:cNvPicPr/>
                  </pic:nvPicPr>
                  <pic:blipFill>
                    <a:blip r:embed="rId20" cstate="print"/>
                    <a:stretch>
                      <a:fillRect/>
                    </a:stretch>
                  </pic:blipFill>
                  <pic:spPr>
                    <a:xfrm>
                      <a:off x="0" y="0"/>
                      <a:ext cx="3705225" cy="2781300"/>
                    </a:xfrm>
                    <a:prstGeom prst="rect">
                      <a:avLst/>
                    </a:prstGeom>
                  </pic:spPr>
                </pic:pic>
              </a:graphicData>
            </a:graphic>
          </wp:inline>
        </w:drawing>
      </w:r>
    </w:p>
    <w:p w14:paraId="315AF5F2" w14:textId="77777777" w:rsidR="004A0253" w:rsidRDefault="00901ABF">
      <w:pPr>
        <w:pStyle w:val="Heading2"/>
      </w:pPr>
      <w:r>
        <w:t>2.6 Intersectionality</w:t>
      </w:r>
    </w:p>
    <w:p w14:paraId="099A02E2" w14:textId="77777777" w:rsidR="004A0253" w:rsidRDefault="00901ABF">
      <w:r>
        <w:rPr>
          <w:noProof/>
        </w:rPr>
        <w:drawing>
          <wp:inline distT="0" distB="0" distL="0" distR="0" wp14:anchorId="03BC63D2" wp14:editId="30F028EC">
            <wp:extent cx="3705225" cy="2781300"/>
            <wp:effectExtent l="0" t="0" r="0" b="0"/>
            <wp:docPr id="13" name="Slide image" descr="Slide titled &quot;Intersectionality&quot; defines the term as the interconnected nature of categories such as race, class, and gender as they apply to an individual or group. Source citation from Kimberle Crenshaw's 1989 University of Chicago Legal Form art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lide image" descr="Slide titled &quot;Intersectionality&quot; defines the term as the interconnected nature of categories such as race, class, and gender as they apply to an individual or group. Source citation from Kimberle Crenshaw's 1989 University of Chicago Legal Form article"/>
                    <pic:cNvPicPr/>
                  </pic:nvPicPr>
                  <pic:blipFill>
                    <a:blip r:embed="rId21" cstate="print"/>
                    <a:stretch>
                      <a:fillRect/>
                    </a:stretch>
                  </pic:blipFill>
                  <pic:spPr>
                    <a:xfrm>
                      <a:off x="0" y="0"/>
                      <a:ext cx="3705225" cy="2781300"/>
                    </a:xfrm>
                    <a:prstGeom prst="rect">
                      <a:avLst/>
                    </a:prstGeom>
                  </pic:spPr>
                </pic:pic>
              </a:graphicData>
            </a:graphic>
          </wp:inline>
        </w:drawing>
      </w:r>
    </w:p>
    <w:p w14:paraId="746D53E4" w14:textId="77777777" w:rsidR="004A0253" w:rsidRDefault="00901ABF">
      <w:pPr>
        <w:pStyle w:val="Heading1"/>
      </w:pPr>
      <w:r>
        <w:lastRenderedPageBreak/>
        <w:t>3. Case Studies</w:t>
      </w:r>
    </w:p>
    <w:p w14:paraId="21385016" w14:textId="77777777" w:rsidR="004A0253" w:rsidRDefault="00901ABF">
      <w:pPr>
        <w:pStyle w:val="Heading2"/>
      </w:pPr>
      <w:r>
        <w:t>3.1 Consider</w:t>
      </w:r>
    </w:p>
    <w:p w14:paraId="08651205" w14:textId="77777777" w:rsidR="004A0253" w:rsidRDefault="00901ABF">
      <w:r>
        <w:rPr>
          <w:noProof/>
        </w:rPr>
        <w:drawing>
          <wp:inline distT="0" distB="0" distL="0" distR="0" wp14:anchorId="6D4E120E" wp14:editId="37D9D518">
            <wp:extent cx="3705225" cy="2781300"/>
            <wp:effectExtent l="0" t="0" r="0" b="0"/>
            <wp:docPr id="14" name="Slide image" descr="Slide titled &quot;Consider&quot; presents three numbered reflective questions aimed at prompting evaluation of concepts related to work and student applic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lide image" descr="Slide titled &quot;Consider&quot; presents three numbered reflective questions aimed at prompting evaluation of concepts related to work and student applicability"/>
                    <pic:cNvPicPr/>
                  </pic:nvPicPr>
                  <pic:blipFill>
                    <a:blip r:embed="rId22" cstate="print"/>
                    <a:stretch>
                      <a:fillRect/>
                    </a:stretch>
                  </pic:blipFill>
                  <pic:spPr>
                    <a:xfrm>
                      <a:off x="0" y="0"/>
                      <a:ext cx="3705225" cy="2781300"/>
                    </a:xfrm>
                    <a:prstGeom prst="rect">
                      <a:avLst/>
                    </a:prstGeom>
                  </pic:spPr>
                </pic:pic>
              </a:graphicData>
            </a:graphic>
          </wp:inline>
        </w:drawing>
      </w:r>
    </w:p>
    <w:p w14:paraId="2870FBDF" w14:textId="77777777" w:rsidR="004A0253" w:rsidRDefault="00901ABF">
      <w:r>
        <w:rPr>
          <w:b/>
        </w:rPr>
        <w:t>Notes:</w:t>
      </w:r>
    </w:p>
    <w:p w14:paraId="736C49EA" w14:textId="77777777" w:rsidR="00901ABF" w:rsidRDefault="00901ABF">
      <w:pPr>
        <w:widowControl w:val="0"/>
        <w:autoSpaceDE w:val="0"/>
        <w:autoSpaceDN w:val="0"/>
        <w:adjustRightInd w:val="0"/>
        <w:spacing w:after="0" w:line="240" w:lineRule="auto"/>
        <w:rPr>
          <w:rFonts w:ascii="Microsoft Sans Serif" w:hAnsi="Microsoft Sans Serif" w:cs="Microsoft Sans Serif"/>
          <w:kern w:val="0"/>
          <w:sz w:val="17"/>
          <w:szCs w:val="17"/>
        </w:rPr>
      </w:pPr>
      <w:r>
        <w:rPr>
          <w:rFonts w:cs="Calibri"/>
          <w:color w:val="000000"/>
          <w:kern w:val="0"/>
        </w:rPr>
        <w:t>Joe to review</w:t>
      </w:r>
    </w:p>
    <w:p w14:paraId="1C5C9038" w14:textId="77777777" w:rsidR="004A0253" w:rsidRDefault="004A0253"/>
    <w:p w14:paraId="261571B6" w14:textId="77777777" w:rsidR="004A0253" w:rsidRDefault="00901ABF">
      <w:pPr>
        <w:pStyle w:val="Heading2"/>
      </w:pPr>
      <w:r>
        <w:t>3.2 Case Studies</w:t>
      </w:r>
    </w:p>
    <w:p w14:paraId="1FB823E4" w14:textId="77777777" w:rsidR="004A0253" w:rsidRDefault="00901ABF">
      <w:r>
        <w:rPr>
          <w:noProof/>
        </w:rPr>
        <w:drawing>
          <wp:inline distT="0" distB="0" distL="0" distR="0" wp14:anchorId="671787B6" wp14:editId="050BF686">
            <wp:extent cx="3705225" cy="2781300"/>
            <wp:effectExtent l="0" t="0" r="9525" b="0"/>
            <wp:docPr id="15" name="Slide imag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lide image">
                      <a:extLst>
                        <a:ext uri="{C183D7F6-B498-43B3-948B-1728B52AA6E4}">
                          <adec:decorative xmlns:adec="http://schemas.microsoft.com/office/drawing/2017/decorative" val="1"/>
                        </a:ext>
                      </a:extLst>
                    </pic:cNvPr>
                    <pic:cNvPicPr/>
                  </pic:nvPicPr>
                  <pic:blipFill>
                    <a:blip r:embed="rId23" cstate="print"/>
                    <a:stretch>
                      <a:fillRect/>
                    </a:stretch>
                  </pic:blipFill>
                  <pic:spPr>
                    <a:xfrm>
                      <a:off x="0" y="0"/>
                      <a:ext cx="3705225" cy="2781300"/>
                    </a:xfrm>
                    <a:prstGeom prst="rect">
                      <a:avLst/>
                    </a:prstGeom>
                  </pic:spPr>
                </pic:pic>
              </a:graphicData>
            </a:graphic>
          </wp:inline>
        </w:drawing>
      </w:r>
    </w:p>
    <w:p w14:paraId="7645B452" w14:textId="77777777" w:rsidR="004A0253" w:rsidRDefault="00901ABF">
      <w:r>
        <w:rPr>
          <w:b/>
        </w:rPr>
        <w:t>Notes:</w:t>
      </w:r>
    </w:p>
    <w:p w14:paraId="0714C004" w14:textId="77777777" w:rsidR="00901ABF" w:rsidRDefault="00901ABF">
      <w:pPr>
        <w:widowControl w:val="0"/>
        <w:autoSpaceDE w:val="0"/>
        <w:autoSpaceDN w:val="0"/>
        <w:adjustRightInd w:val="0"/>
        <w:spacing w:after="0" w:line="240" w:lineRule="auto"/>
        <w:rPr>
          <w:rFonts w:ascii="Microsoft Sans Serif" w:hAnsi="Microsoft Sans Serif" w:cs="Microsoft Sans Serif"/>
          <w:kern w:val="0"/>
          <w:sz w:val="17"/>
          <w:szCs w:val="17"/>
        </w:rPr>
      </w:pPr>
      <w:r>
        <w:rPr>
          <w:rFonts w:cs="Calibri"/>
          <w:color w:val="000000"/>
          <w:kern w:val="0"/>
        </w:rPr>
        <w:lastRenderedPageBreak/>
        <w:t>Joe to review</w:t>
      </w:r>
    </w:p>
    <w:p w14:paraId="4217135F" w14:textId="77777777" w:rsidR="004A0253" w:rsidRDefault="004A0253"/>
    <w:p w14:paraId="0A4F0D04" w14:textId="77777777" w:rsidR="004A0253" w:rsidRDefault="00901ABF">
      <w:pPr>
        <w:pStyle w:val="Heading2"/>
      </w:pPr>
      <w:r>
        <w:t>3.3 Case Study: 1</w:t>
      </w:r>
    </w:p>
    <w:p w14:paraId="15B2FC57" w14:textId="77777777" w:rsidR="004A0253" w:rsidRDefault="00901ABF">
      <w:r>
        <w:rPr>
          <w:noProof/>
        </w:rPr>
        <w:drawing>
          <wp:inline distT="0" distB="0" distL="0" distR="0" wp14:anchorId="0CBE4F3A" wp14:editId="457DB1CC">
            <wp:extent cx="3705225" cy="2781300"/>
            <wp:effectExtent l="0" t="0" r="0" b="0"/>
            <wp:docPr id="16" name="Slide image" descr="Presentation slide titled &quot;Iris and Alexis&quot; containing three numbered discussion questions about addressing a situation with students. Questions focus on initial thoughts, biases and assumptions from involved people, and available institutional resources and support for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lide image" descr="Presentation slide titled &quot;Iris and Alexis&quot; containing three numbered discussion questions about addressing a situation with students. Questions focus on initial thoughts, biases and assumptions from involved people, and available institutional resources and support for students"/>
                    <pic:cNvPicPr/>
                  </pic:nvPicPr>
                  <pic:blipFill>
                    <a:blip r:embed="rId24" cstate="print"/>
                    <a:stretch>
                      <a:fillRect/>
                    </a:stretch>
                  </pic:blipFill>
                  <pic:spPr>
                    <a:xfrm>
                      <a:off x="0" y="0"/>
                      <a:ext cx="3705225" cy="2781300"/>
                    </a:xfrm>
                    <a:prstGeom prst="rect">
                      <a:avLst/>
                    </a:prstGeom>
                  </pic:spPr>
                </pic:pic>
              </a:graphicData>
            </a:graphic>
          </wp:inline>
        </w:drawing>
      </w:r>
    </w:p>
    <w:p w14:paraId="0E875DB1" w14:textId="77777777" w:rsidR="004A0253" w:rsidRDefault="00901ABF">
      <w:pPr>
        <w:pStyle w:val="Heading2"/>
      </w:pPr>
      <w:r>
        <w:t>3.4 Case Study: 2</w:t>
      </w:r>
    </w:p>
    <w:p w14:paraId="7A21F8BC" w14:textId="77777777" w:rsidR="004A0253" w:rsidRDefault="00901ABF">
      <w:r>
        <w:rPr>
          <w:noProof/>
        </w:rPr>
        <w:drawing>
          <wp:inline distT="0" distB="0" distL="0" distR="0" wp14:anchorId="7BF20C14" wp14:editId="0D1945F9">
            <wp:extent cx="3705225" cy="2781300"/>
            <wp:effectExtent l="0" t="0" r="0" b="0"/>
            <wp:docPr id="17" name="Slide image" descr="Screenshot of a text-based discussion prompt titled &quot;Eket and Ribba,&quot; containing four numbered questions about understanding student interactions and mental health stigma. The prompts focus on exploring communication differences, decision-making factors, and the school's role in mediating disagreements between two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lide image" descr="Screenshot of a text-based discussion prompt titled &quot;Eket and Ribba,&quot; containing four numbered questions about understanding student interactions and mental health stigma. The prompts focus on exploring communication differences, decision-making factors, and the school's role in mediating disagreements between two students"/>
                    <pic:cNvPicPr/>
                  </pic:nvPicPr>
                  <pic:blipFill>
                    <a:blip r:embed="rId25" cstate="print"/>
                    <a:stretch>
                      <a:fillRect/>
                    </a:stretch>
                  </pic:blipFill>
                  <pic:spPr>
                    <a:xfrm>
                      <a:off x="0" y="0"/>
                      <a:ext cx="3705225" cy="2781300"/>
                    </a:xfrm>
                    <a:prstGeom prst="rect">
                      <a:avLst/>
                    </a:prstGeom>
                  </pic:spPr>
                </pic:pic>
              </a:graphicData>
            </a:graphic>
          </wp:inline>
        </w:drawing>
      </w:r>
    </w:p>
    <w:p w14:paraId="04502F4C" w14:textId="77777777" w:rsidR="004A0253" w:rsidRDefault="00901ABF">
      <w:r>
        <w:rPr>
          <w:b/>
        </w:rPr>
        <w:t>Notes:</w:t>
      </w:r>
    </w:p>
    <w:p w14:paraId="6D9DA5C5" w14:textId="77777777" w:rsidR="00901ABF" w:rsidRDefault="00901ABF">
      <w:pPr>
        <w:widowControl w:val="0"/>
        <w:autoSpaceDE w:val="0"/>
        <w:autoSpaceDN w:val="0"/>
        <w:adjustRightInd w:val="0"/>
        <w:spacing w:after="0" w:line="240" w:lineRule="auto"/>
        <w:rPr>
          <w:rFonts w:ascii="Open Sans" w:hAnsi="Open Sans" w:cs="Open Sans"/>
          <w:color w:val="000000"/>
          <w:kern w:val="0"/>
          <w:sz w:val="16"/>
          <w:szCs w:val="16"/>
        </w:rPr>
      </w:pPr>
      <w:r>
        <w:rPr>
          <w:rFonts w:ascii="Open Sans" w:hAnsi="Open Sans" w:cs="Open Sans"/>
          <w:color w:val="000000"/>
          <w:kern w:val="0"/>
          <w:sz w:val="16"/>
          <w:szCs w:val="16"/>
        </w:rPr>
        <w:t>University may have acted in deliberate indifference of reporting individual's Title IX rights where it permitted an appeal to the university's NCAA representative. That individual was not indicated as part of the appeal process in the code of conduct, and the reporting individual was not notified that the respondent had sought an appeal through this representative. Doe v. Univ. of Alabama in Huntsville, 177 F. Supp. 3d 1380, 1386 (N.D. Ala. 2016)</w:t>
      </w:r>
    </w:p>
    <w:p w14:paraId="53ED68FB" w14:textId="77777777" w:rsidR="00901ABF" w:rsidRDefault="00901ABF">
      <w:pPr>
        <w:widowControl w:val="0"/>
        <w:autoSpaceDE w:val="0"/>
        <w:autoSpaceDN w:val="0"/>
        <w:adjustRightInd w:val="0"/>
        <w:spacing w:after="0" w:line="240" w:lineRule="auto"/>
        <w:rPr>
          <w:rFonts w:ascii="Open Sans" w:hAnsi="Open Sans" w:cs="Open Sans"/>
          <w:color w:val="000000"/>
          <w:kern w:val="0"/>
          <w:sz w:val="16"/>
          <w:szCs w:val="16"/>
        </w:rPr>
      </w:pPr>
      <w:r>
        <w:rPr>
          <w:rFonts w:ascii="Open Sans" w:hAnsi="Open Sans" w:cs="Open Sans"/>
          <w:color w:val="000000"/>
          <w:kern w:val="0"/>
          <w:sz w:val="16"/>
          <w:szCs w:val="16"/>
        </w:rPr>
        <w:t> </w:t>
      </w:r>
    </w:p>
    <w:p w14:paraId="55E14D1C" w14:textId="77777777" w:rsidR="00901ABF" w:rsidRDefault="00901ABF">
      <w:pPr>
        <w:widowControl w:val="0"/>
        <w:autoSpaceDE w:val="0"/>
        <w:autoSpaceDN w:val="0"/>
        <w:adjustRightInd w:val="0"/>
        <w:spacing w:after="0" w:line="240" w:lineRule="auto"/>
        <w:rPr>
          <w:rFonts w:ascii="Microsoft Sans Serif" w:hAnsi="Microsoft Sans Serif" w:cs="Microsoft Sans Serif"/>
          <w:kern w:val="0"/>
          <w:sz w:val="17"/>
          <w:szCs w:val="17"/>
        </w:rPr>
      </w:pPr>
      <w:r>
        <w:rPr>
          <w:rFonts w:ascii="Open Sans" w:hAnsi="Open Sans" w:cs="Open Sans"/>
          <w:color w:val="000000"/>
          <w:kern w:val="0"/>
          <w:sz w:val="16"/>
          <w:szCs w:val="16"/>
        </w:rPr>
        <w:lastRenderedPageBreak/>
        <w:t>Where a university brings charges against a respondent based on violations of a code of conduct, it is obliged to provide all procedural rights described in that code, including any appeal rights. Thus, a university violated a respondent's due process rights where it charged him under a 2013-2014 code, which gave the right to an appeal by committee, but then applied a conduct procedure that did not offer the same appeal process: the appeal was conducted by the Title IX coordinator, who had previously issued the sanction. The university compounded this error by sending the respondent various correspondence indicating that he was being charged under the 2014-2015 code, rather than the 2013-2014 code. Norris v. Univ. of Colorado, Boulder, No. 1:18-CV-02243-LTB, 2019 WL 764568, at *15 (D. Colo. Feb. 21, 2019).</w:t>
      </w:r>
    </w:p>
    <w:p w14:paraId="3F58028A" w14:textId="77777777" w:rsidR="004A0253" w:rsidRDefault="004A0253"/>
    <w:p w14:paraId="2E663A08" w14:textId="77777777" w:rsidR="004A0253" w:rsidRDefault="00901ABF">
      <w:pPr>
        <w:pStyle w:val="Heading1"/>
      </w:pPr>
      <w:r>
        <w:t>4. Conclusion</w:t>
      </w:r>
    </w:p>
    <w:p w14:paraId="22CD0CD7" w14:textId="77777777" w:rsidR="004A0253" w:rsidRDefault="00901ABF">
      <w:pPr>
        <w:pStyle w:val="Heading2"/>
      </w:pPr>
      <w:r>
        <w:t>4.1 Conclusion</w:t>
      </w:r>
    </w:p>
    <w:p w14:paraId="2F7255F8" w14:textId="77777777" w:rsidR="004A0253" w:rsidRDefault="00901ABF">
      <w:r>
        <w:rPr>
          <w:noProof/>
        </w:rPr>
        <w:drawing>
          <wp:inline distT="0" distB="0" distL="0" distR="0" wp14:anchorId="0FC65B52" wp14:editId="56F34E80">
            <wp:extent cx="3705225" cy="2781300"/>
            <wp:effectExtent l="0" t="0" r="0" b="0"/>
            <wp:docPr id="18" name="Slide image" descr="Presentation slide concluding a module with a thank you message and homework promp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lide image" descr="Presentation slide concluding a module with a thank you message and homework prompt. "/>
                    <pic:cNvPicPr/>
                  </pic:nvPicPr>
                  <pic:blipFill>
                    <a:blip r:embed="rId26" cstate="print"/>
                    <a:stretch>
                      <a:fillRect/>
                    </a:stretch>
                  </pic:blipFill>
                  <pic:spPr>
                    <a:xfrm>
                      <a:off x="0" y="0"/>
                      <a:ext cx="3705225" cy="2781300"/>
                    </a:xfrm>
                    <a:prstGeom prst="rect">
                      <a:avLst/>
                    </a:prstGeom>
                  </pic:spPr>
                </pic:pic>
              </a:graphicData>
            </a:graphic>
          </wp:inline>
        </w:drawing>
      </w:r>
    </w:p>
    <w:p w14:paraId="5058D7F8" w14:textId="77777777" w:rsidR="004A0253" w:rsidRDefault="00901ABF">
      <w:r>
        <w:rPr>
          <w:b/>
        </w:rPr>
        <w:t>Notes:</w:t>
      </w:r>
    </w:p>
    <w:p w14:paraId="7FB1D3FB" w14:textId="77777777" w:rsidR="00901ABF" w:rsidRDefault="00901ABF">
      <w:pPr>
        <w:widowControl w:val="0"/>
        <w:autoSpaceDE w:val="0"/>
        <w:autoSpaceDN w:val="0"/>
        <w:adjustRightInd w:val="0"/>
        <w:spacing w:after="0" w:line="240" w:lineRule="auto"/>
        <w:rPr>
          <w:rFonts w:ascii="Open Sans" w:hAnsi="Open Sans" w:cs="Open Sans"/>
          <w:color w:val="000000"/>
          <w:kern w:val="0"/>
          <w:sz w:val="16"/>
          <w:szCs w:val="16"/>
        </w:rPr>
      </w:pPr>
      <w:r>
        <w:rPr>
          <w:rFonts w:ascii="Open Sans" w:hAnsi="Open Sans" w:cs="Open Sans"/>
          <w:color w:val="000000"/>
          <w:kern w:val="0"/>
          <w:sz w:val="16"/>
          <w:szCs w:val="16"/>
        </w:rPr>
        <w:t>University may have acted in deliberate indifference of reporting individual's Title IX rights where it permitted an appeal to the university's NCAA representative. That individual was not indicated as part of the appeal process in the code of conduct, and the reporting individual was not notified that the respondent had sought an appeal through this representative. Doe v. Univ. of Alabama in Huntsville, 177 F. Supp. 3d 1380, 1386 (N.D. Ala. 2016)</w:t>
      </w:r>
    </w:p>
    <w:p w14:paraId="641E41D3" w14:textId="77777777" w:rsidR="00901ABF" w:rsidRDefault="00901ABF">
      <w:pPr>
        <w:widowControl w:val="0"/>
        <w:autoSpaceDE w:val="0"/>
        <w:autoSpaceDN w:val="0"/>
        <w:adjustRightInd w:val="0"/>
        <w:spacing w:after="0" w:line="240" w:lineRule="auto"/>
        <w:rPr>
          <w:rFonts w:ascii="Open Sans" w:hAnsi="Open Sans" w:cs="Open Sans"/>
          <w:color w:val="000000"/>
          <w:kern w:val="0"/>
          <w:sz w:val="16"/>
          <w:szCs w:val="16"/>
        </w:rPr>
      </w:pPr>
      <w:r>
        <w:rPr>
          <w:rFonts w:ascii="Open Sans" w:hAnsi="Open Sans" w:cs="Open Sans"/>
          <w:color w:val="000000"/>
          <w:kern w:val="0"/>
          <w:sz w:val="16"/>
          <w:szCs w:val="16"/>
        </w:rPr>
        <w:t> </w:t>
      </w:r>
    </w:p>
    <w:p w14:paraId="77D01616" w14:textId="77777777" w:rsidR="00901ABF" w:rsidRDefault="00901ABF">
      <w:pPr>
        <w:widowControl w:val="0"/>
        <w:autoSpaceDE w:val="0"/>
        <w:autoSpaceDN w:val="0"/>
        <w:adjustRightInd w:val="0"/>
        <w:spacing w:after="0" w:line="240" w:lineRule="auto"/>
        <w:rPr>
          <w:rFonts w:ascii="Microsoft Sans Serif" w:hAnsi="Microsoft Sans Serif" w:cs="Microsoft Sans Serif"/>
          <w:kern w:val="0"/>
          <w:sz w:val="17"/>
          <w:szCs w:val="17"/>
        </w:rPr>
      </w:pPr>
      <w:r>
        <w:rPr>
          <w:rFonts w:ascii="Open Sans" w:hAnsi="Open Sans" w:cs="Open Sans"/>
          <w:color w:val="000000"/>
          <w:kern w:val="0"/>
          <w:sz w:val="16"/>
          <w:szCs w:val="16"/>
        </w:rPr>
        <w:t>Where a university brings charges against a respondent based on violations of a code of conduct, it is obliged to provide all procedural rights described in that code, including any appeal rights. Thus, a university violated a respondent's due process rights where it charged him under a 2013-2014 code, which gave the right to an appeal by committee, but then applied a conduct procedure that did not offer the same appeal process: the appeal was conducted by the Title IX coordinator, who had previously issued the sanction. The university compounded this error by sending the respondent various correspondence indicating that he was being charged under the 2014-2015 code, rather than the 2013-2014 code. Norris v. Univ. of Colorado, Boulder, No. 1:18-CV-02243-LTB, 2019 WL 764568, at *15 (D. Colo. Feb. 21, 2019).</w:t>
      </w:r>
    </w:p>
    <w:p w14:paraId="04EC536A" w14:textId="77777777" w:rsidR="004A0253" w:rsidRDefault="004A0253"/>
    <w:p w14:paraId="7948C213" w14:textId="77777777" w:rsidR="004A0253" w:rsidRDefault="00901ABF">
      <w:pPr>
        <w:pStyle w:val="Heading2"/>
      </w:pPr>
      <w:r>
        <w:lastRenderedPageBreak/>
        <w:t>4.2 SCI Exit slide</w:t>
      </w:r>
    </w:p>
    <w:p w14:paraId="774A586C" w14:textId="77777777" w:rsidR="004A0253" w:rsidRDefault="00901ABF">
      <w:r>
        <w:rPr>
          <w:noProof/>
        </w:rPr>
        <w:drawing>
          <wp:inline distT="0" distB="0" distL="0" distR="0" wp14:anchorId="47AA1C99" wp14:editId="35B8D2A1">
            <wp:extent cx="3705225" cy="2781300"/>
            <wp:effectExtent l="0" t="0" r="0" b="0"/>
            <wp:docPr id="19" name="Slide image" descr="Training completion slide thanking participants and listing tools used: Articulate Storyline 360, Adobe Audition, and music source bensound.com. Contact details for SUNY Student Conduct Institute, including website, email, Twitter handle, and physical address in Albany, NY, are provided alongside a button labeled &quot;Feedback Form.&quo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lide image" descr="Training completion slide thanking participants and listing tools used: Articulate Storyline 360, Adobe Audition, and music source bensound.com. Contact details for SUNY Student Conduct Institute, including website, email, Twitter handle, and physical address in Albany, NY, are provided alongside a button labeled &quot;Feedback Form.&quot;&#10;"/>
                    <pic:cNvPicPr/>
                  </pic:nvPicPr>
                  <pic:blipFill>
                    <a:blip r:embed="rId27" cstate="print"/>
                    <a:stretch>
                      <a:fillRect/>
                    </a:stretch>
                  </pic:blipFill>
                  <pic:spPr>
                    <a:xfrm>
                      <a:off x="0" y="0"/>
                      <a:ext cx="3705225" cy="2781300"/>
                    </a:xfrm>
                    <a:prstGeom prst="rect">
                      <a:avLst/>
                    </a:prstGeom>
                  </pic:spPr>
                </pic:pic>
              </a:graphicData>
            </a:graphic>
          </wp:inline>
        </w:drawing>
      </w:r>
    </w:p>
    <w:p w14:paraId="7A2F1B72" w14:textId="77777777" w:rsidR="004A0253" w:rsidRDefault="00901ABF">
      <w:r>
        <w:rPr>
          <w:b/>
        </w:rPr>
        <w:t>Notes:</w:t>
      </w:r>
    </w:p>
    <w:p w14:paraId="4CC0900F" w14:textId="77777777" w:rsidR="00901ABF" w:rsidRDefault="00901ABF">
      <w:pPr>
        <w:widowControl w:val="0"/>
        <w:autoSpaceDE w:val="0"/>
        <w:autoSpaceDN w:val="0"/>
        <w:adjustRightInd w:val="0"/>
        <w:spacing w:after="0" w:line="240" w:lineRule="auto"/>
        <w:rPr>
          <w:rFonts w:ascii="Microsoft Sans Serif" w:hAnsi="Microsoft Sans Serif" w:cs="Microsoft Sans Serif"/>
          <w:kern w:val="0"/>
          <w:sz w:val="17"/>
          <w:szCs w:val="17"/>
        </w:rPr>
      </w:pPr>
    </w:p>
    <w:p w14:paraId="12637821" w14:textId="77777777" w:rsidR="004A0253" w:rsidRDefault="004A0253"/>
    <w:p w14:paraId="0D0433F4" w14:textId="77777777" w:rsidR="004A0253" w:rsidRDefault="00901ABF">
      <w:pPr>
        <w:pStyle w:val="Heading1"/>
      </w:pPr>
      <w:r>
        <w:t>5. Lightbox</w:t>
      </w:r>
    </w:p>
    <w:p w14:paraId="7549C053" w14:textId="77777777" w:rsidR="004A0253" w:rsidRDefault="00901ABF">
      <w:pPr>
        <w:pStyle w:val="Heading2"/>
      </w:pPr>
      <w:r>
        <w:t>5.1 Need Help?</w:t>
      </w:r>
    </w:p>
    <w:p w14:paraId="29642232" w14:textId="77777777" w:rsidR="004A0253" w:rsidRDefault="00901ABF">
      <w:r>
        <w:rPr>
          <w:noProof/>
        </w:rPr>
        <w:drawing>
          <wp:inline distT="0" distB="0" distL="0" distR="0" wp14:anchorId="6418022E" wp14:editId="61F49E3A">
            <wp:extent cx="3705225" cy="2781300"/>
            <wp:effectExtent l="0" t="0" r="9525" b="0"/>
            <wp:docPr id="20" name="Slide imag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lide image">
                      <a:extLst>
                        <a:ext uri="{C183D7F6-B498-43B3-948B-1728B52AA6E4}">
                          <adec:decorative xmlns:adec="http://schemas.microsoft.com/office/drawing/2017/decorative" val="1"/>
                        </a:ext>
                      </a:extLst>
                    </pic:cNvPr>
                    <pic:cNvPicPr/>
                  </pic:nvPicPr>
                  <pic:blipFill>
                    <a:blip r:embed="rId28" cstate="print"/>
                    <a:stretch>
                      <a:fillRect/>
                    </a:stretch>
                  </pic:blipFill>
                  <pic:spPr>
                    <a:xfrm>
                      <a:off x="0" y="0"/>
                      <a:ext cx="3705225" cy="2781300"/>
                    </a:xfrm>
                    <a:prstGeom prst="rect">
                      <a:avLst/>
                    </a:prstGeom>
                  </pic:spPr>
                </pic:pic>
              </a:graphicData>
            </a:graphic>
          </wp:inline>
        </w:drawing>
      </w:r>
    </w:p>
    <w:p w14:paraId="01809D54" w14:textId="77777777" w:rsidR="004A0253" w:rsidRDefault="00901ABF">
      <w:r>
        <w:rPr>
          <w:b/>
        </w:rPr>
        <w:t>Notes:</w:t>
      </w:r>
    </w:p>
    <w:p w14:paraId="56F3A2F5" w14:textId="77777777" w:rsidR="00901ABF" w:rsidRDefault="00901ABF">
      <w:pPr>
        <w:widowControl w:val="0"/>
        <w:autoSpaceDE w:val="0"/>
        <w:autoSpaceDN w:val="0"/>
        <w:adjustRightInd w:val="0"/>
        <w:spacing w:after="0" w:line="240" w:lineRule="auto"/>
        <w:rPr>
          <w:rFonts w:ascii="Microsoft Sans Serif" w:hAnsi="Microsoft Sans Serif" w:cs="Microsoft Sans Serif"/>
          <w:kern w:val="0"/>
          <w:sz w:val="17"/>
          <w:szCs w:val="17"/>
        </w:rPr>
      </w:pPr>
    </w:p>
    <w:p w14:paraId="5BBF82E5" w14:textId="77777777" w:rsidR="004A0253" w:rsidRDefault="004A0253"/>
    <w:sectPr w:rsidR="004A0253">
      <w:footerReference w:type="default" r:id="rId2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948C87" w14:textId="77777777" w:rsidR="00F0561D" w:rsidRDefault="00F0561D" w:rsidP="00BF48BE">
      <w:pPr>
        <w:spacing w:after="0" w:line="240" w:lineRule="auto"/>
      </w:pPr>
      <w:r>
        <w:separator/>
      </w:r>
    </w:p>
  </w:endnote>
  <w:endnote w:type="continuationSeparator" w:id="0">
    <w:p w14:paraId="33EC2B78" w14:textId="77777777" w:rsidR="00F0561D" w:rsidRDefault="00F0561D" w:rsidP="00BF48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Microsoft Sans Serif">
    <w:panose1 w:val="020B0604020202020204"/>
    <w:charset w:val="00"/>
    <w:family w:val="swiss"/>
    <w:pitch w:val="variable"/>
    <w:sig w:usb0="E5002EFF" w:usb1="C000605B" w:usb2="00000029" w:usb3="00000000" w:csb0="000101FF" w:csb1="00000000"/>
  </w:font>
  <w:font w:name="Open Sans">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C5F142" w14:textId="77777777" w:rsidR="00BF48BE" w:rsidRDefault="00F0561D" w:rsidP="00BF48BE">
    <w:pPr>
      <w:tabs>
        <w:tab w:val="center" w:pos="4320"/>
        <w:tab w:val="right" w:pos="8640"/>
      </w:tabs>
      <w:jc w:val="center"/>
      <w:rPr>
        <w:rFonts w:cs="Arial"/>
      </w:rPr>
    </w:pPr>
    <w:r>
      <w:rPr>
        <w:rFonts w:cs="Arial"/>
      </w:rPr>
      <w:pict w14:anchorId="617CCCB4">
        <v:rect id="_x0000_i1025" style="width:6in;height:1.5pt" o:hralign="center" o:hrstd="t" o:hr="t" fillcolor="#aca899" stroked="f"/>
      </w:pict>
    </w:r>
  </w:p>
  <w:p w14:paraId="1D3FA3C3" w14:textId="77777777" w:rsidR="00BF48BE" w:rsidRDefault="00BF48BE">
    <w:pPr>
      <w:pStyle w:val="Footer"/>
    </w:pPr>
  </w:p>
  <w:p w14:paraId="6A94D24A" w14:textId="77777777" w:rsidR="004A0253" w:rsidRDefault="00901ABF">
    <w:r>
      <w:t>Published by Articulate® Storyline www.articulate.com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0520CF" w14:textId="77777777" w:rsidR="00F0561D" w:rsidRDefault="00F0561D" w:rsidP="00BF48BE">
      <w:pPr>
        <w:spacing w:after="0" w:line="240" w:lineRule="auto"/>
      </w:pPr>
      <w:r>
        <w:separator/>
      </w:r>
    </w:p>
  </w:footnote>
  <w:footnote w:type="continuationSeparator" w:id="0">
    <w:p w14:paraId="44B83209" w14:textId="77777777" w:rsidR="00F0561D" w:rsidRDefault="00F0561D" w:rsidP="00BF48B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48BE"/>
    <w:rsid w:val="000161D5"/>
    <w:rsid w:val="000C6672"/>
    <w:rsid w:val="001650CC"/>
    <w:rsid w:val="00182A54"/>
    <w:rsid w:val="001E68E0"/>
    <w:rsid w:val="002405A4"/>
    <w:rsid w:val="00255F56"/>
    <w:rsid w:val="00257CC5"/>
    <w:rsid w:val="003535BB"/>
    <w:rsid w:val="004965D7"/>
    <w:rsid w:val="004A0253"/>
    <w:rsid w:val="004D7311"/>
    <w:rsid w:val="005C12BE"/>
    <w:rsid w:val="006012D6"/>
    <w:rsid w:val="00626EC1"/>
    <w:rsid w:val="0066093D"/>
    <w:rsid w:val="0073657E"/>
    <w:rsid w:val="00745E41"/>
    <w:rsid w:val="00754266"/>
    <w:rsid w:val="008755B4"/>
    <w:rsid w:val="00901ABF"/>
    <w:rsid w:val="00916BAC"/>
    <w:rsid w:val="009459ED"/>
    <w:rsid w:val="00970988"/>
    <w:rsid w:val="009D574C"/>
    <w:rsid w:val="009E42E5"/>
    <w:rsid w:val="00BA7C33"/>
    <w:rsid w:val="00BD6D09"/>
    <w:rsid w:val="00BF48BE"/>
    <w:rsid w:val="00C90069"/>
    <w:rsid w:val="00D8333C"/>
    <w:rsid w:val="00DA59D1"/>
    <w:rsid w:val="00E34F81"/>
    <w:rsid w:val="00E7115A"/>
    <w:rsid w:val="00EB52EF"/>
    <w:rsid w:val="00F0561D"/>
    <w:rsid w:val="00FC27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642F41"/>
  <w15:chartTrackingRefBased/>
  <w15:docId w15:val="{358DD57E-9CC0-400F-9C76-9B67F8534C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12BE"/>
    <w:rPr>
      <w:rFonts w:ascii="Calibri" w:hAnsi="Calibri"/>
      <w:sz w:val="22"/>
    </w:rPr>
  </w:style>
  <w:style w:type="paragraph" w:styleId="Heading1">
    <w:name w:val="heading 1"/>
    <w:basedOn w:val="Normal"/>
    <w:next w:val="Normal"/>
    <w:link w:val="Heading1Char"/>
    <w:uiPriority w:val="9"/>
    <w:qFormat/>
    <w:rsid w:val="00626EC1"/>
    <w:pPr>
      <w:keepNext/>
      <w:keepLines/>
      <w:spacing w:before="360" w:after="80"/>
      <w:outlineLvl w:val="0"/>
    </w:pPr>
    <w:rPr>
      <w:rFonts w:eastAsiaTheme="majorEastAsia" w:cstheme="majorBidi"/>
      <w:b/>
      <w:color w:val="0F4761" w:themeColor="accent1" w:themeShade="BF"/>
      <w:sz w:val="32"/>
      <w:szCs w:val="40"/>
    </w:rPr>
  </w:style>
  <w:style w:type="paragraph" w:styleId="Heading2">
    <w:name w:val="heading 2"/>
    <w:basedOn w:val="Normal"/>
    <w:next w:val="Normal"/>
    <w:link w:val="Heading2Char"/>
    <w:uiPriority w:val="9"/>
    <w:semiHidden/>
    <w:unhideWhenUsed/>
    <w:qFormat/>
    <w:rsid w:val="00626EC1"/>
    <w:pPr>
      <w:keepNext/>
      <w:keepLines/>
      <w:spacing w:before="160" w:after="80"/>
      <w:outlineLvl w:val="1"/>
    </w:pPr>
    <w:rPr>
      <w:rFonts w:eastAsiaTheme="majorEastAsia" w:cstheme="majorBidi"/>
      <w:b/>
      <w:i/>
      <w:sz w:val="28"/>
      <w:szCs w:val="32"/>
    </w:rPr>
  </w:style>
  <w:style w:type="paragraph" w:styleId="Heading3">
    <w:name w:val="heading 3"/>
    <w:basedOn w:val="Normal"/>
    <w:next w:val="Normal"/>
    <w:link w:val="Heading3Char"/>
    <w:uiPriority w:val="9"/>
    <w:unhideWhenUsed/>
    <w:qFormat/>
    <w:rsid w:val="005C12BE"/>
    <w:pPr>
      <w:keepNext/>
      <w:keepLines/>
      <w:spacing w:before="160" w:after="80"/>
      <w:outlineLvl w:val="2"/>
    </w:pPr>
    <w:rPr>
      <w:rFonts w:eastAsiaTheme="majorEastAsia" w:cstheme="majorBidi"/>
      <w:b/>
      <w:sz w:val="26"/>
      <w:szCs w:val="28"/>
    </w:rPr>
  </w:style>
  <w:style w:type="paragraph" w:styleId="Heading4">
    <w:name w:val="heading 4"/>
    <w:basedOn w:val="Normal"/>
    <w:next w:val="Normal"/>
    <w:link w:val="Heading4Char"/>
    <w:uiPriority w:val="9"/>
    <w:semiHidden/>
    <w:unhideWhenUsed/>
    <w:qFormat/>
    <w:rsid w:val="00BF48B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F48B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F48B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F48B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F48B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F48B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26EC1"/>
    <w:rPr>
      <w:rFonts w:ascii="Calibri" w:eastAsiaTheme="majorEastAsia" w:hAnsi="Calibri" w:cstheme="majorBidi"/>
      <w:b/>
      <w:color w:val="0F4761" w:themeColor="accent1" w:themeShade="BF"/>
      <w:sz w:val="32"/>
      <w:szCs w:val="40"/>
    </w:rPr>
  </w:style>
  <w:style w:type="character" w:customStyle="1" w:styleId="Heading2Char">
    <w:name w:val="Heading 2 Char"/>
    <w:basedOn w:val="DefaultParagraphFont"/>
    <w:link w:val="Heading2"/>
    <w:uiPriority w:val="9"/>
    <w:semiHidden/>
    <w:rsid w:val="00626EC1"/>
    <w:rPr>
      <w:rFonts w:ascii="Calibri" w:eastAsiaTheme="majorEastAsia" w:hAnsi="Calibri" w:cstheme="majorBidi"/>
      <w:b/>
      <w:i/>
      <w:sz w:val="28"/>
      <w:szCs w:val="32"/>
    </w:rPr>
  </w:style>
  <w:style w:type="character" w:customStyle="1" w:styleId="Heading3Char">
    <w:name w:val="Heading 3 Char"/>
    <w:basedOn w:val="DefaultParagraphFont"/>
    <w:link w:val="Heading3"/>
    <w:uiPriority w:val="9"/>
    <w:rsid w:val="005C12BE"/>
    <w:rPr>
      <w:rFonts w:ascii="Calibri" w:eastAsiaTheme="majorEastAsia" w:hAnsi="Calibri" w:cstheme="majorBidi"/>
      <w:b/>
      <w:sz w:val="26"/>
      <w:szCs w:val="28"/>
    </w:rPr>
  </w:style>
  <w:style w:type="character" w:customStyle="1" w:styleId="Heading4Char">
    <w:name w:val="Heading 4 Char"/>
    <w:basedOn w:val="DefaultParagraphFont"/>
    <w:link w:val="Heading4"/>
    <w:uiPriority w:val="9"/>
    <w:semiHidden/>
    <w:rsid w:val="00BF48B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F48B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F48B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F48B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F48B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F48BE"/>
    <w:rPr>
      <w:rFonts w:eastAsiaTheme="majorEastAsia" w:cstheme="majorBidi"/>
      <w:color w:val="272727" w:themeColor="text1" w:themeTint="D8"/>
    </w:rPr>
  </w:style>
  <w:style w:type="paragraph" w:styleId="Title">
    <w:name w:val="Title"/>
    <w:basedOn w:val="Normal"/>
    <w:next w:val="Normal"/>
    <w:link w:val="TitleChar"/>
    <w:uiPriority w:val="10"/>
    <w:qFormat/>
    <w:rsid w:val="00BF48B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F48B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F48B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F48B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F48BE"/>
    <w:pPr>
      <w:spacing w:before="160"/>
      <w:jc w:val="center"/>
    </w:pPr>
    <w:rPr>
      <w:i/>
      <w:iCs/>
      <w:color w:val="404040" w:themeColor="text1" w:themeTint="BF"/>
    </w:rPr>
  </w:style>
  <w:style w:type="character" w:customStyle="1" w:styleId="QuoteChar">
    <w:name w:val="Quote Char"/>
    <w:basedOn w:val="DefaultParagraphFont"/>
    <w:link w:val="Quote"/>
    <w:uiPriority w:val="29"/>
    <w:rsid w:val="00BF48BE"/>
    <w:rPr>
      <w:i/>
      <w:iCs/>
      <w:color w:val="404040" w:themeColor="text1" w:themeTint="BF"/>
    </w:rPr>
  </w:style>
  <w:style w:type="paragraph" w:styleId="ListParagraph">
    <w:name w:val="List Paragraph"/>
    <w:basedOn w:val="Normal"/>
    <w:uiPriority w:val="34"/>
    <w:qFormat/>
    <w:rsid w:val="00BF48BE"/>
    <w:pPr>
      <w:ind w:left="720"/>
      <w:contextualSpacing/>
    </w:pPr>
  </w:style>
  <w:style w:type="character" w:styleId="IntenseEmphasis">
    <w:name w:val="Intense Emphasis"/>
    <w:basedOn w:val="DefaultParagraphFont"/>
    <w:uiPriority w:val="21"/>
    <w:qFormat/>
    <w:rsid w:val="00BF48BE"/>
    <w:rPr>
      <w:i/>
      <w:iCs/>
      <w:color w:val="0F4761" w:themeColor="accent1" w:themeShade="BF"/>
    </w:rPr>
  </w:style>
  <w:style w:type="paragraph" w:styleId="IntenseQuote">
    <w:name w:val="Intense Quote"/>
    <w:basedOn w:val="Normal"/>
    <w:next w:val="Normal"/>
    <w:link w:val="IntenseQuoteChar"/>
    <w:uiPriority w:val="30"/>
    <w:qFormat/>
    <w:rsid w:val="00BF48B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F48BE"/>
    <w:rPr>
      <w:i/>
      <w:iCs/>
      <w:color w:val="0F4761" w:themeColor="accent1" w:themeShade="BF"/>
    </w:rPr>
  </w:style>
  <w:style w:type="character" w:styleId="IntenseReference">
    <w:name w:val="Intense Reference"/>
    <w:basedOn w:val="DefaultParagraphFont"/>
    <w:uiPriority w:val="32"/>
    <w:qFormat/>
    <w:rsid w:val="00BF48BE"/>
    <w:rPr>
      <w:b/>
      <w:bCs/>
      <w:smallCaps/>
      <w:color w:val="0F4761" w:themeColor="accent1" w:themeShade="BF"/>
      <w:spacing w:val="5"/>
    </w:rPr>
  </w:style>
  <w:style w:type="paragraph" w:styleId="Header">
    <w:name w:val="header"/>
    <w:basedOn w:val="Normal"/>
    <w:link w:val="HeaderChar"/>
    <w:uiPriority w:val="99"/>
    <w:unhideWhenUsed/>
    <w:rsid w:val="00BF48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8BE"/>
  </w:style>
  <w:style w:type="paragraph" w:styleId="Footer">
    <w:name w:val="footer"/>
    <w:basedOn w:val="Normal"/>
    <w:link w:val="FooterChar"/>
    <w:uiPriority w:val="99"/>
    <w:unhideWhenUsed/>
    <w:rsid w:val="00BF48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8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bin"/><Relationship Id="rId18" Type="http://schemas.openxmlformats.org/officeDocument/2006/relationships/image" Target="media/image10.bin"/><Relationship Id="rId26" Type="http://schemas.openxmlformats.org/officeDocument/2006/relationships/image" Target="media/image18.bin"/><Relationship Id="rId3" Type="http://schemas.openxmlformats.org/officeDocument/2006/relationships/customXml" Target="../customXml/item3.xml"/><Relationship Id="rId21" Type="http://schemas.openxmlformats.org/officeDocument/2006/relationships/image" Target="media/image13.bin"/><Relationship Id="rId7" Type="http://schemas.openxmlformats.org/officeDocument/2006/relationships/footnotes" Target="footnotes.xml"/><Relationship Id="rId12" Type="http://schemas.openxmlformats.org/officeDocument/2006/relationships/image" Target="media/image4.bin"/><Relationship Id="rId17" Type="http://schemas.openxmlformats.org/officeDocument/2006/relationships/image" Target="media/image9.bin"/><Relationship Id="rId25" Type="http://schemas.openxmlformats.org/officeDocument/2006/relationships/image" Target="media/image17.bin"/><Relationship Id="rId2" Type="http://schemas.openxmlformats.org/officeDocument/2006/relationships/customXml" Target="../customXml/item2.xml"/><Relationship Id="rId16" Type="http://schemas.openxmlformats.org/officeDocument/2006/relationships/image" Target="media/image8.bin"/><Relationship Id="rId20" Type="http://schemas.openxmlformats.org/officeDocument/2006/relationships/image" Target="media/image12.bin"/><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bin"/><Relationship Id="rId24" Type="http://schemas.openxmlformats.org/officeDocument/2006/relationships/image" Target="media/image16.bin"/><Relationship Id="rId5" Type="http://schemas.openxmlformats.org/officeDocument/2006/relationships/settings" Target="settings.xml"/><Relationship Id="rId15" Type="http://schemas.openxmlformats.org/officeDocument/2006/relationships/image" Target="media/image7.bin"/><Relationship Id="rId23" Type="http://schemas.openxmlformats.org/officeDocument/2006/relationships/image" Target="media/image15.bin"/><Relationship Id="rId28" Type="http://schemas.openxmlformats.org/officeDocument/2006/relationships/image" Target="media/image20.bin"/><Relationship Id="rId10" Type="http://schemas.openxmlformats.org/officeDocument/2006/relationships/image" Target="media/image2.bin"/><Relationship Id="rId19" Type="http://schemas.openxmlformats.org/officeDocument/2006/relationships/image" Target="media/image11.bin"/><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bin"/><Relationship Id="rId14" Type="http://schemas.openxmlformats.org/officeDocument/2006/relationships/image" Target="media/image6.bin"/><Relationship Id="rId22" Type="http://schemas.openxmlformats.org/officeDocument/2006/relationships/image" Target="media/image14.bin"/><Relationship Id="rId27" Type="http://schemas.openxmlformats.org/officeDocument/2006/relationships/image" Target="media/image19.bin"/><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1F9DEE80A15E8428BF7116FB6EA3FC9" ma:contentTypeVersion="24" ma:contentTypeDescription="Create a new document." ma:contentTypeScope="" ma:versionID="03e17897ba9f09b52cc8bbf56ea4ec22">
  <xsd:schema xmlns:xsd="http://www.w3.org/2001/XMLSchema" xmlns:xs="http://www.w3.org/2001/XMLSchema" xmlns:p="http://schemas.microsoft.com/office/2006/metadata/properties" xmlns:ns2="d53ffc77-9570-416f-b8ce-97d7c6acbadf" xmlns:ns3="77c3fc14-2e30-4e40-8eeb-3b52cfee7462" targetNamespace="http://schemas.microsoft.com/office/2006/metadata/properties" ma:root="true" ma:fieldsID="3e6ec5b12ba50b43e35a5cdab7752b75" ns2:_="" ns3:_="">
    <xsd:import namespace="d53ffc77-9570-416f-b8ce-97d7c6acbadf"/>
    <xsd:import namespace="77c3fc14-2e30-4e40-8eeb-3b52cfee746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element ref="ns2:MediaServiceBillingMetadata" minOccurs="0"/>
                <xsd:element ref="ns2:CalendarYear" minOccurs="0"/>
                <xsd:element ref="ns2:PresenterOR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3ffc77-9570-416f-b8ce-97d7c6acbad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184558b3-4b7e-402e-a6c9-1417db9941b9"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element name="CalendarYear" ma:index="27" nillable="true" ma:displayName="Calendar Year" ma:format="Dropdown" ma:internalName="CalendarYear">
      <xsd:simpleType>
        <xsd:restriction base="dms:Text">
          <xsd:maxLength value="255"/>
        </xsd:restriction>
      </xsd:simpleType>
    </xsd:element>
    <xsd:element name="PresenterORG" ma:index="28" nillable="true" ma:displayName="Presenter ORG" ma:format="Dropdown" ma:internalName="PresenterORG">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7c3fc14-2e30-4e40-8eeb-3b52cfee746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b6219e5c-395d-45d9-bf8c-5b248b101e56}" ma:internalName="TaxCatchAll" ma:showField="CatchAllData" ma:web="77c3fc14-2e30-4e40-8eeb-3b52cfee746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resenterORG xmlns="d53ffc77-9570-416f-b8ce-97d7c6acbadf" xsi:nil="true"/>
    <TaxCatchAll xmlns="77c3fc14-2e30-4e40-8eeb-3b52cfee7462" xsi:nil="true"/>
    <CalendarYear xmlns="d53ffc77-9570-416f-b8ce-97d7c6acbadf" xsi:nil="true"/>
    <lcf76f155ced4ddcb4097134ff3c332f xmlns="d53ffc77-9570-416f-b8ce-97d7c6acbadf">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55D8289-2582-4254-A737-ACBD6D65B0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53ffc77-9570-416f-b8ce-97d7c6acbadf"/>
    <ds:schemaRef ds:uri="77c3fc14-2e30-4e40-8eeb-3b52cfee74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15220CC-9CB9-4255-B34F-FACD24FD3EC8}">
  <ds:schemaRefs>
    <ds:schemaRef ds:uri="http://schemas.microsoft.com/office/2006/metadata/properties"/>
    <ds:schemaRef ds:uri="http://schemas.microsoft.com/office/infopath/2007/PartnerControls"/>
    <ds:schemaRef ds:uri="d53ffc77-9570-416f-b8ce-97d7c6acbadf"/>
    <ds:schemaRef ds:uri="77c3fc14-2e30-4e40-8eeb-3b52cfee7462"/>
  </ds:schemaRefs>
</ds:datastoreItem>
</file>

<file path=customXml/itemProps3.xml><?xml version="1.0" encoding="utf-8"?>
<ds:datastoreItem xmlns:ds="http://schemas.openxmlformats.org/officeDocument/2006/customXml" ds:itemID="{011E89A3-0218-4C41-9318-097F3E734DE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488</Words>
  <Characters>2784</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Articulate</dc:creator>
  <cp:keywords/>
  <dc:description/>
  <cp:lastModifiedBy>Rosen, Jeffrey</cp:lastModifiedBy>
  <cp:revision>3</cp:revision>
  <dcterms:created xsi:type="dcterms:W3CDTF">2026-05-29T15:36:00Z</dcterms:created>
  <dcterms:modified xsi:type="dcterms:W3CDTF">2026-06-10T18:58:00Z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0x010100B1F9DEE80A15E8428BF7116FB6EA3FC9</vt:lpwstr>
  </property>
</Properties>
</file>