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35EB" w14:textId="77777777" w:rsidR="004D7311" w:rsidRPr="00626EC1" w:rsidRDefault="004D7311" w:rsidP="005C12BE">
      <w:pPr>
        <w:pStyle w:val="Title"/>
      </w:pPr>
      <w:r>
        <w:t>FERPA Confidentiality</w:t>
      </w:r>
    </w:p>
    <w:p w14:paraId="7D09C2AE" w14:textId="77777777" w:rsidR="00994B63" w:rsidRDefault="00D66EA0">
      <w:pPr>
        <w:pStyle w:val="Heading1"/>
      </w:pPr>
      <w:r>
        <w:t>1. Draft</w:t>
      </w:r>
    </w:p>
    <w:p w14:paraId="7A7E846B" w14:textId="77777777" w:rsidR="00994B63" w:rsidRDefault="00D66EA0">
      <w:pPr>
        <w:pStyle w:val="Heading2"/>
      </w:pPr>
      <w:r>
        <w:t>1.1 Title</w:t>
      </w:r>
    </w:p>
    <w:p w14:paraId="62AAFCC6" w14:textId="77777777" w:rsidR="00994B63" w:rsidRDefault="00D66EA0">
      <w:r>
        <w:rPr>
          <w:noProof/>
        </w:rPr>
        <w:drawing>
          <wp:inline distT="0" distB="0" distL="0" distR="0" wp14:anchorId="07A11168" wp14:editId="0A189B22">
            <wp:extent cx="3705225" cy="2781300"/>
            <wp:effectExtent l="0" t="0" r="0" b="0"/>
            <wp:docPr id="1" name="Slide image" descr="Presentation slide focused on FERPA confidentiality, representing the beginning of module 4 of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 image" descr="Presentation slide focused on FERPA confidentiality, representing the beginning of module 4 of 15"/>
                    <pic:cNvPicPr/>
                  </pic:nvPicPr>
                  <pic:blipFill>
                    <a:blip r:embed="rId6" cstate="print"/>
                    <a:stretch>
                      <a:fillRect/>
                    </a:stretch>
                  </pic:blipFill>
                  <pic:spPr>
                    <a:xfrm>
                      <a:off x="0" y="0"/>
                      <a:ext cx="3705225" cy="2781300"/>
                    </a:xfrm>
                    <a:prstGeom prst="rect">
                      <a:avLst/>
                    </a:prstGeom>
                  </pic:spPr>
                </pic:pic>
              </a:graphicData>
            </a:graphic>
          </wp:inline>
        </w:drawing>
      </w:r>
    </w:p>
    <w:p w14:paraId="54B0142A" w14:textId="77777777" w:rsidR="00994B63" w:rsidRDefault="00D66EA0">
      <w:r>
        <w:rPr>
          <w:b/>
        </w:rPr>
        <w:t>Notes:</w:t>
      </w:r>
    </w:p>
    <w:p w14:paraId="02741658" w14:textId="77777777" w:rsidR="00D66EA0" w:rsidRDefault="00D66EA0">
      <w:pPr>
        <w:widowControl w:val="0"/>
        <w:autoSpaceDE w:val="0"/>
        <w:autoSpaceDN w:val="0"/>
        <w:adjustRightInd w:val="0"/>
        <w:spacing w:after="0" w:line="240" w:lineRule="auto"/>
        <w:rPr>
          <w:rFonts w:ascii="Microsoft Sans Serif" w:hAnsi="Microsoft Sans Serif" w:cs="Microsoft Sans Serif"/>
          <w:kern w:val="0"/>
          <w:sz w:val="17"/>
          <w:szCs w:val="17"/>
        </w:rPr>
      </w:pPr>
    </w:p>
    <w:p w14:paraId="57D6D5DC" w14:textId="77777777" w:rsidR="00994B63" w:rsidRDefault="00994B63"/>
    <w:p w14:paraId="67D7505B" w14:textId="77777777" w:rsidR="00994B63" w:rsidRDefault="00D66EA0">
      <w:pPr>
        <w:pStyle w:val="Heading2"/>
      </w:pPr>
      <w:r>
        <w:lastRenderedPageBreak/>
        <w:t>1.2 Disclaimer</w:t>
      </w:r>
    </w:p>
    <w:p w14:paraId="4A32A16D" w14:textId="77777777" w:rsidR="00994B63" w:rsidRDefault="00D66EA0">
      <w:r>
        <w:rPr>
          <w:noProof/>
        </w:rPr>
        <w:drawing>
          <wp:inline distT="0" distB="0" distL="0" distR="0" wp14:anchorId="49258A56" wp14:editId="15DEA723">
            <wp:extent cx="3705225" cy="2781300"/>
            <wp:effectExtent l="0" t="0" r="0" b="0"/>
            <wp:docPr id="2" name="Slide image" descr="Disclaimer text block that explains that SUNY Student Conduct Institute trainings and resources are property of State University of New York, cannot be shared without authorization, provide educational content without legal advice, and advises consulting legal counsel for institution-specific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 image" descr="Disclaimer text block that explains that SUNY Student Conduct Institute trainings and resources are property of State University of New York, cannot be shared without authorization, provide educational content without legal advice, and advises consulting legal counsel for institution-specific matters"/>
                    <pic:cNvPicPr/>
                  </pic:nvPicPr>
                  <pic:blipFill>
                    <a:blip r:embed="rId7" cstate="print"/>
                    <a:stretch>
                      <a:fillRect/>
                    </a:stretch>
                  </pic:blipFill>
                  <pic:spPr>
                    <a:xfrm>
                      <a:off x="0" y="0"/>
                      <a:ext cx="3705225" cy="2781300"/>
                    </a:xfrm>
                    <a:prstGeom prst="rect">
                      <a:avLst/>
                    </a:prstGeom>
                  </pic:spPr>
                </pic:pic>
              </a:graphicData>
            </a:graphic>
          </wp:inline>
        </w:drawing>
      </w:r>
    </w:p>
    <w:p w14:paraId="1367C1CB" w14:textId="77777777" w:rsidR="00994B63" w:rsidRDefault="00D66EA0">
      <w:pPr>
        <w:pStyle w:val="Heading2"/>
      </w:pPr>
      <w:r>
        <w:t>1.3 Overview</w:t>
      </w:r>
    </w:p>
    <w:p w14:paraId="0E825181" w14:textId="77777777" w:rsidR="00994B63" w:rsidRDefault="00D66EA0">
      <w:r>
        <w:rPr>
          <w:noProof/>
        </w:rPr>
        <w:drawing>
          <wp:inline distT="0" distB="0" distL="0" distR="0" wp14:anchorId="4038F0FD" wp14:editId="17FF20D9">
            <wp:extent cx="3705225" cy="2781300"/>
            <wp:effectExtent l="0" t="0" r="0" b="0"/>
            <wp:docPr id="3" name="Slide image" descr="Diagram showing training overview with two labeled sections: &quot;Family Educational Rights and Privacy Act (FERPA)&quot; in an orange oval and &quot;How FERPA Interacts with Title IX&quot; in a white oval. The diagram highlights key topics for a training session focused on FERPA and its relationship with Title IX reg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 image" descr="Diagram showing training overview with two labeled sections: &quot;Family Educational Rights and Privacy Act (FERPA)&quot; in an orange oval and &quot;How FERPA Interacts with Title IX&quot; in a white oval. The diagram highlights key topics for a training session focused on FERPA and its relationship with Title IX regulations"/>
                    <pic:cNvPicPr/>
                  </pic:nvPicPr>
                  <pic:blipFill>
                    <a:blip r:embed="rId8" cstate="print"/>
                    <a:stretch>
                      <a:fillRect/>
                    </a:stretch>
                  </pic:blipFill>
                  <pic:spPr>
                    <a:xfrm>
                      <a:off x="0" y="0"/>
                      <a:ext cx="3705225" cy="2781300"/>
                    </a:xfrm>
                    <a:prstGeom prst="rect">
                      <a:avLst/>
                    </a:prstGeom>
                  </pic:spPr>
                </pic:pic>
              </a:graphicData>
            </a:graphic>
          </wp:inline>
        </w:drawing>
      </w:r>
    </w:p>
    <w:p w14:paraId="387D83A7" w14:textId="77777777" w:rsidR="00994B63" w:rsidRDefault="00D66EA0">
      <w:pPr>
        <w:pStyle w:val="Heading2"/>
      </w:pPr>
      <w:r>
        <w:lastRenderedPageBreak/>
        <w:t>1.4 FERPA Definition</w:t>
      </w:r>
    </w:p>
    <w:p w14:paraId="42306394" w14:textId="77777777" w:rsidR="00994B63" w:rsidRDefault="00D66EA0">
      <w:r>
        <w:rPr>
          <w:noProof/>
        </w:rPr>
        <w:drawing>
          <wp:inline distT="0" distB="0" distL="0" distR="0" wp14:anchorId="6381FB64" wp14:editId="53CB444C">
            <wp:extent cx="3705225" cy="2781300"/>
            <wp:effectExtent l="0" t="0" r="0" b="0"/>
            <wp:docPr id="4" name="Slide image" descr="Diagram illustrating key components of the Federal Education Rights and Privacy Act with three horizontally aligned rounded rectangles labeled &quot;Education records,&quot; &quot;Directly related to a student,&quot; and &quot;Maintained by educational party, agency, or institution.&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 image" descr="Diagram illustrating key components of the Federal Education Rights and Privacy Act with three horizontally aligned rounded rectangles labeled &quot;Education records,&quot; &quot;Directly related to a student,&quot; and &quot;Maintained by educational party, agency, or institution.&quot; "/>
                    <pic:cNvPicPr/>
                  </pic:nvPicPr>
                  <pic:blipFill>
                    <a:blip r:embed="rId9" cstate="print"/>
                    <a:stretch>
                      <a:fillRect/>
                    </a:stretch>
                  </pic:blipFill>
                  <pic:spPr>
                    <a:xfrm>
                      <a:off x="0" y="0"/>
                      <a:ext cx="3705225" cy="2781300"/>
                    </a:xfrm>
                    <a:prstGeom prst="rect">
                      <a:avLst/>
                    </a:prstGeom>
                  </pic:spPr>
                </pic:pic>
              </a:graphicData>
            </a:graphic>
          </wp:inline>
        </w:drawing>
      </w:r>
    </w:p>
    <w:p w14:paraId="5568EA4C" w14:textId="77777777" w:rsidR="00994B63" w:rsidRDefault="00D66EA0">
      <w:pPr>
        <w:pStyle w:val="Heading2"/>
      </w:pPr>
      <w:r>
        <w:t>1.5 FERPA Definition Continued</w:t>
      </w:r>
    </w:p>
    <w:p w14:paraId="34F15507" w14:textId="77777777" w:rsidR="00994B63" w:rsidRDefault="00D66EA0">
      <w:r>
        <w:rPr>
          <w:noProof/>
        </w:rPr>
        <w:drawing>
          <wp:inline distT="0" distB="0" distL="0" distR="0" wp14:anchorId="0C96113C" wp14:editId="1B287896">
            <wp:extent cx="3705225" cy="2781300"/>
            <wp:effectExtent l="0" t="0" r="0" b="0"/>
            <wp:docPr id="5" name="Slide image" descr="Slide titled &quot;Federal Education Rights and Privacy Act&quot; with a graphic that highlights the educational records are maintained by a central custodian, such as a regist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de image" descr="Slide titled &quot;Federal Education Rights and Privacy Act&quot; with a graphic that highlights the educational records are maintained by a central custodian, such as a registrar"/>
                    <pic:cNvPicPr/>
                  </pic:nvPicPr>
                  <pic:blipFill>
                    <a:blip r:embed="rId10" cstate="print"/>
                    <a:stretch>
                      <a:fillRect/>
                    </a:stretch>
                  </pic:blipFill>
                  <pic:spPr>
                    <a:xfrm>
                      <a:off x="0" y="0"/>
                      <a:ext cx="3705225" cy="2781300"/>
                    </a:xfrm>
                    <a:prstGeom prst="rect">
                      <a:avLst/>
                    </a:prstGeom>
                  </pic:spPr>
                </pic:pic>
              </a:graphicData>
            </a:graphic>
          </wp:inline>
        </w:drawing>
      </w:r>
    </w:p>
    <w:p w14:paraId="2957CB34" w14:textId="77777777" w:rsidR="00994B63" w:rsidRDefault="00D66EA0">
      <w:pPr>
        <w:pStyle w:val="Heading2"/>
      </w:pPr>
      <w:r>
        <w:lastRenderedPageBreak/>
        <w:t>1.6 GEPA Override</w:t>
      </w:r>
    </w:p>
    <w:p w14:paraId="281B65AE" w14:textId="77777777" w:rsidR="00994B63" w:rsidRDefault="00D66EA0">
      <w:r>
        <w:rPr>
          <w:noProof/>
        </w:rPr>
        <w:drawing>
          <wp:inline distT="0" distB="0" distL="0" distR="0" wp14:anchorId="741FDF78" wp14:editId="5C2D9863">
            <wp:extent cx="3705225" cy="2781300"/>
            <wp:effectExtent l="0" t="0" r="0" b="0"/>
            <wp:docPr id="6" name="Slide image" descr="A photograph of a bulletin board displaying two torn paper notes comparing Due Process rights and FERPA, with key points highlighted. Due Process includes access to all evidence related to formal complaints, while FERPA emphasizes keeping student records private, alongside a note about the General Education Provisions Act (GEPA) protecting due process righ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 image" descr="A photograph of a bulletin board displaying two torn paper notes comparing Due Process rights and FERPA, with key points highlighted. Due Process includes access to all evidence related to formal complaints, while FERPA emphasizes keeping student records private, alongside a note about the General Education Provisions Act (GEPA) protecting due process rights "/>
                    <pic:cNvPicPr/>
                  </pic:nvPicPr>
                  <pic:blipFill>
                    <a:blip r:embed="rId11" cstate="print"/>
                    <a:stretch>
                      <a:fillRect/>
                    </a:stretch>
                  </pic:blipFill>
                  <pic:spPr>
                    <a:xfrm>
                      <a:off x="0" y="0"/>
                      <a:ext cx="3705225" cy="2781300"/>
                    </a:xfrm>
                    <a:prstGeom prst="rect">
                      <a:avLst/>
                    </a:prstGeom>
                  </pic:spPr>
                </pic:pic>
              </a:graphicData>
            </a:graphic>
          </wp:inline>
        </w:drawing>
      </w:r>
    </w:p>
    <w:p w14:paraId="3E188B3E" w14:textId="77777777" w:rsidR="00994B63" w:rsidRDefault="00D66EA0">
      <w:pPr>
        <w:pStyle w:val="Heading2"/>
      </w:pPr>
      <w:r>
        <w:t>1.7 FERPA Examples</w:t>
      </w:r>
    </w:p>
    <w:p w14:paraId="4EA2AADB" w14:textId="77777777" w:rsidR="00994B63" w:rsidRDefault="00D66EA0">
      <w:r>
        <w:rPr>
          <w:noProof/>
        </w:rPr>
        <w:drawing>
          <wp:inline distT="0" distB="0" distL="0" distR="0" wp14:anchorId="05CCF309" wp14:editId="5AF6262C">
            <wp:extent cx="3705225" cy="2781300"/>
            <wp:effectExtent l="0" t="0" r="0" b="0"/>
            <wp:docPr id="7" name="Slide image" descr="Slide titled &quot;FERPA Confidentiality Examples&quot; with four labeled horizontal bars: Multiple students, Relevant evidence, Consolidation of cases, and Supportive measures. Text boxes explain that the final rule permits case consolidation but raises FERPA privacy concerns, emphasizing that consolidation must not cause FERPA vio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de image" descr="Slide titled &quot;FERPA Confidentiality Examples&quot; with four labeled horizontal bars: Multiple students, Relevant evidence, Consolidation of cases, and Supportive measures. Text boxes explain that the final rule permits case consolidation but raises FERPA privacy concerns, emphasizing that consolidation must not cause FERPA violations"/>
                    <pic:cNvPicPr/>
                  </pic:nvPicPr>
                  <pic:blipFill>
                    <a:blip r:embed="rId12" cstate="print"/>
                    <a:stretch>
                      <a:fillRect/>
                    </a:stretch>
                  </pic:blipFill>
                  <pic:spPr>
                    <a:xfrm>
                      <a:off x="0" y="0"/>
                      <a:ext cx="3705225" cy="2781300"/>
                    </a:xfrm>
                    <a:prstGeom prst="rect">
                      <a:avLst/>
                    </a:prstGeom>
                  </pic:spPr>
                </pic:pic>
              </a:graphicData>
            </a:graphic>
          </wp:inline>
        </w:drawing>
      </w:r>
    </w:p>
    <w:p w14:paraId="51816B86" w14:textId="77777777" w:rsidR="00994B63" w:rsidRDefault="00D66EA0">
      <w:r>
        <w:rPr>
          <w:b/>
        </w:rPr>
        <w:t>Notes:</w:t>
      </w:r>
    </w:p>
    <w:p w14:paraId="080DA0C0" w14:textId="77777777" w:rsidR="00D66EA0" w:rsidRDefault="00D66EA0">
      <w:pPr>
        <w:widowControl w:val="0"/>
        <w:autoSpaceDE w:val="0"/>
        <w:autoSpaceDN w:val="0"/>
        <w:adjustRightInd w:val="0"/>
        <w:spacing w:after="0" w:line="240" w:lineRule="auto"/>
        <w:rPr>
          <w:rFonts w:ascii="Microsoft Sans Serif" w:hAnsi="Microsoft Sans Serif" w:cs="Microsoft Sans Serif"/>
          <w:kern w:val="0"/>
          <w:sz w:val="17"/>
          <w:szCs w:val="17"/>
        </w:rPr>
      </w:pPr>
    </w:p>
    <w:p w14:paraId="0DDC9BC7" w14:textId="77777777" w:rsidR="00994B63" w:rsidRDefault="00994B63"/>
    <w:p w14:paraId="6350D358" w14:textId="77777777" w:rsidR="00994B63" w:rsidRDefault="00D66EA0">
      <w:pPr>
        <w:pStyle w:val="Heading2"/>
      </w:pPr>
      <w:r>
        <w:lastRenderedPageBreak/>
        <w:t>1.8 End Slide</w:t>
      </w:r>
    </w:p>
    <w:p w14:paraId="2EC8BDB2" w14:textId="77777777" w:rsidR="00994B63" w:rsidRDefault="00D66EA0">
      <w:r>
        <w:rPr>
          <w:noProof/>
        </w:rPr>
        <w:drawing>
          <wp:inline distT="0" distB="0" distL="0" distR="0" wp14:anchorId="22945E3D" wp14:editId="0D901B9E">
            <wp:extent cx="3705225" cy="2781300"/>
            <wp:effectExtent l="0" t="0" r="0" b="0"/>
            <wp:docPr id="8" name="Slide image" descr="Screenshot of a training progress interface showing completion status for modules. &quot;Completed&quot; section in green highlights Module 4 Training on FERPA Confidentiality, while &quot;Next&quot; section in orange indicates upcoming Module 4 Quiz and Module 5 Training on Ideal Hearing Candidate and Conflicts of Interest &amp; Bias, with an &quot;Exit to Quiz&quot; butt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de image" descr="Screenshot of a training progress interface showing completion status for modules. &quot;Completed&quot; section in green highlights Module 4 Training on FERPA Confidentiality, while &quot;Next&quot; section in orange indicates upcoming Module 4 Quiz and Module 5 Training on Ideal Hearing Candidate and Conflicts of Interest &amp; Bias, with an &quot;Exit to Quiz&quot; button below"/>
                    <pic:cNvPicPr/>
                  </pic:nvPicPr>
                  <pic:blipFill>
                    <a:blip r:embed="rId13" cstate="print"/>
                    <a:stretch>
                      <a:fillRect/>
                    </a:stretch>
                  </pic:blipFill>
                  <pic:spPr>
                    <a:xfrm>
                      <a:off x="0" y="0"/>
                      <a:ext cx="3705225" cy="2781300"/>
                    </a:xfrm>
                    <a:prstGeom prst="rect">
                      <a:avLst/>
                    </a:prstGeom>
                  </pic:spPr>
                </pic:pic>
              </a:graphicData>
            </a:graphic>
          </wp:inline>
        </w:drawing>
      </w:r>
    </w:p>
    <w:p w14:paraId="662230A0" w14:textId="77777777" w:rsidR="00994B63" w:rsidRDefault="00D66EA0">
      <w:r>
        <w:rPr>
          <w:b/>
        </w:rPr>
        <w:t>Notes:</w:t>
      </w:r>
    </w:p>
    <w:p w14:paraId="6F669C8C" w14:textId="77777777" w:rsidR="00D66EA0" w:rsidRDefault="00D66EA0">
      <w:pPr>
        <w:widowControl w:val="0"/>
        <w:autoSpaceDE w:val="0"/>
        <w:autoSpaceDN w:val="0"/>
        <w:adjustRightInd w:val="0"/>
        <w:spacing w:after="0" w:line="240" w:lineRule="auto"/>
        <w:rPr>
          <w:rFonts w:ascii="Microsoft Sans Serif" w:hAnsi="Microsoft Sans Serif" w:cs="Microsoft Sans Serif"/>
          <w:kern w:val="0"/>
          <w:sz w:val="17"/>
          <w:szCs w:val="17"/>
        </w:rPr>
      </w:pPr>
    </w:p>
    <w:p w14:paraId="4E90972D" w14:textId="77777777" w:rsidR="00994B63" w:rsidRDefault="00994B63"/>
    <w:sectPr w:rsidR="00994B6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4C2E1" w14:textId="77777777" w:rsidR="00D66EA0" w:rsidRDefault="00D66EA0" w:rsidP="00BF48BE">
      <w:pPr>
        <w:spacing w:after="0" w:line="240" w:lineRule="auto"/>
      </w:pPr>
      <w:r>
        <w:separator/>
      </w:r>
    </w:p>
  </w:endnote>
  <w:endnote w:type="continuationSeparator" w:id="0">
    <w:p w14:paraId="1EC905AF" w14:textId="77777777" w:rsidR="00D66EA0" w:rsidRDefault="00D66EA0" w:rsidP="00BF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F142" w14:textId="77777777" w:rsidR="00BF48BE" w:rsidRDefault="00D66EA0" w:rsidP="00BF48BE">
    <w:pPr>
      <w:tabs>
        <w:tab w:val="center" w:pos="4320"/>
        <w:tab w:val="right" w:pos="8640"/>
      </w:tabs>
      <w:jc w:val="center"/>
      <w:rPr>
        <w:rFonts w:cs="Arial"/>
      </w:rPr>
    </w:pPr>
    <w:r>
      <w:rPr>
        <w:rFonts w:cs="Arial"/>
      </w:rPr>
      <w:pict w14:anchorId="617CCCB4">
        <v:rect id="_x0000_i1025" style="width:6in;height:1.5pt" o:hralign="center" o:hrstd="t" o:hr="t" fillcolor="#aca899" stroked="f"/>
      </w:pict>
    </w:r>
  </w:p>
  <w:p w14:paraId="1D3FA3C3" w14:textId="77777777" w:rsidR="00BF48BE" w:rsidRDefault="00BF48BE">
    <w:pPr>
      <w:pStyle w:val="Footer"/>
    </w:pPr>
  </w:p>
  <w:p w14:paraId="4717F473" w14:textId="77777777" w:rsidR="00994B63" w:rsidRDefault="00D66EA0">
    <w:r>
      <w:t>Published by Articulate® Storyline www.articulate.com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20C3" w14:textId="77777777" w:rsidR="00D66EA0" w:rsidRDefault="00D66EA0" w:rsidP="00BF48BE">
      <w:pPr>
        <w:spacing w:after="0" w:line="240" w:lineRule="auto"/>
      </w:pPr>
      <w:r>
        <w:separator/>
      </w:r>
    </w:p>
  </w:footnote>
  <w:footnote w:type="continuationSeparator" w:id="0">
    <w:p w14:paraId="040C2733" w14:textId="77777777" w:rsidR="00D66EA0" w:rsidRDefault="00D66EA0" w:rsidP="00BF48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BE"/>
    <w:rsid w:val="00047360"/>
    <w:rsid w:val="000723FF"/>
    <w:rsid w:val="000957E3"/>
    <w:rsid w:val="002256E8"/>
    <w:rsid w:val="00257CC5"/>
    <w:rsid w:val="003B029F"/>
    <w:rsid w:val="004D7311"/>
    <w:rsid w:val="005C12BE"/>
    <w:rsid w:val="00626EC1"/>
    <w:rsid w:val="00745E41"/>
    <w:rsid w:val="007F0FEF"/>
    <w:rsid w:val="008B7AE8"/>
    <w:rsid w:val="009459ED"/>
    <w:rsid w:val="00970988"/>
    <w:rsid w:val="009747F1"/>
    <w:rsid w:val="00994B63"/>
    <w:rsid w:val="009B4307"/>
    <w:rsid w:val="00A56F6B"/>
    <w:rsid w:val="00BE4338"/>
    <w:rsid w:val="00BF48BE"/>
    <w:rsid w:val="00D66EA0"/>
    <w:rsid w:val="00D8333C"/>
    <w:rsid w:val="00E34F81"/>
    <w:rsid w:val="00E7115A"/>
    <w:rsid w:val="00EB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2F41"/>
  <w15:chartTrackingRefBased/>
  <w15:docId w15:val="{EEE07F56-EEB2-4EE2-B86D-18FC2858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2BE"/>
    <w:rPr>
      <w:rFonts w:ascii="Calibri" w:hAnsi="Calibri"/>
      <w:sz w:val="22"/>
    </w:rPr>
  </w:style>
  <w:style w:type="paragraph" w:styleId="Heading1">
    <w:name w:val="heading 1"/>
    <w:basedOn w:val="Normal"/>
    <w:next w:val="Normal"/>
    <w:link w:val="Heading1Char"/>
    <w:uiPriority w:val="9"/>
    <w:qFormat/>
    <w:rsid w:val="00626EC1"/>
    <w:pPr>
      <w:keepNext/>
      <w:keepLines/>
      <w:spacing w:before="360" w:after="80"/>
      <w:outlineLvl w:val="0"/>
    </w:pPr>
    <w:rPr>
      <w:rFonts w:eastAsiaTheme="majorEastAsia" w:cstheme="majorBidi"/>
      <w:b/>
      <w:color w:val="0F4761" w:themeColor="accent1" w:themeShade="BF"/>
      <w:sz w:val="32"/>
      <w:szCs w:val="40"/>
    </w:rPr>
  </w:style>
  <w:style w:type="paragraph" w:styleId="Heading2">
    <w:name w:val="heading 2"/>
    <w:basedOn w:val="Normal"/>
    <w:next w:val="Normal"/>
    <w:link w:val="Heading2Char"/>
    <w:uiPriority w:val="9"/>
    <w:semiHidden/>
    <w:unhideWhenUsed/>
    <w:qFormat/>
    <w:rsid w:val="00626EC1"/>
    <w:pPr>
      <w:keepNext/>
      <w:keepLines/>
      <w:spacing w:before="160" w:after="80"/>
      <w:outlineLvl w:val="1"/>
    </w:pPr>
    <w:rPr>
      <w:rFonts w:eastAsiaTheme="majorEastAsia" w:cstheme="majorBidi"/>
      <w:b/>
      <w:i/>
      <w:sz w:val="28"/>
      <w:szCs w:val="32"/>
    </w:rPr>
  </w:style>
  <w:style w:type="paragraph" w:styleId="Heading3">
    <w:name w:val="heading 3"/>
    <w:basedOn w:val="Normal"/>
    <w:next w:val="Normal"/>
    <w:link w:val="Heading3Char"/>
    <w:uiPriority w:val="9"/>
    <w:unhideWhenUsed/>
    <w:qFormat/>
    <w:rsid w:val="005C12BE"/>
    <w:pPr>
      <w:keepNext/>
      <w:keepLines/>
      <w:spacing w:before="160" w:after="80"/>
      <w:outlineLvl w:val="2"/>
    </w:pPr>
    <w:rPr>
      <w:rFonts w:eastAsiaTheme="majorEastAsia" w:cstheme="majorBidi"/>
      <w:b/>
      <w:sz w:val="26"/>
      <w:szCs w:val="28"/>
    </w:rPr>
  </w:style>
  <w:style w:type="paragraph" w:styleId="Heading4">
    <w:name w:val="heading 4"/>
    <w:basedOn w:val="Normal"/>
    <w:next w:val="Normal"/>
    <w:link w:val="Heading4Char"/>
    <w:uiPriority w:val="9"/>
    <w:semiHidden/>
    <w:unhideWhenUsed/>
    <w:qFormat/>
    <w:rsid w:val="00BF4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EC1"/>
    <w:rPr>
      <w:rFonts w:ascii="Calibri" w:eastAsiaTheme="majorEastAsia" w:hAnsi="Calibri" w:cstheme="majorBidi"/>
      <w:b/>
      <w:color w:val="0F4761" w:themeColor="accent1" w:themeShade="BF"/>
      <w:sz w:val="32"/>
      <w:szCs w:val="40"/>
    </w:rPr>
  </w:style>
  <w:style w:type="character" w:customStyle="1" w:styleId="Heading2Char">
    <w:name w:val="Heading 2 Char"/>
    <w:basedOn w:val="DefaultParagraphFont"/>
    <w:link w:val="Heading2"/>
    <w:uiPriority w:val="9"/>
    <w:semiHidden/>
    <w:rsid w:val="00626EC1"/>
    <w:rPr>
      <w:rFonts w:ascii="Calibri" w:eastAsiaTheme="majorEastAsia" w:hAnsi="Calibri" w:cstheme="majorBidi"/>
      <w:b/>
      <w:i/>
      <w:sz w:val="28"/>
      <w:szCs w:val="32"/>
    </w:rPr>
  </w:style>
  <w:style w:type="character" w:customStyle="1" w:styleId="Heading3Char">
    <w:name w:val="Heading 3 Char"/>
    <w:basedOn w:val="DefaultParagraphFont"/>
    <w:link w:val="Heading3"/>
    <w:uiPriority w:val="9"/>
    <w:rsid w:val="005C12BE"/>
    <w:rPr>
      <w:rFonts w:ascii="Calibri" w:eastAsiaTheme="majorEastAsia" w:hAnsi="Calibri" w:cstheme="majorBidi"/>
      <w:b/>
      <w:sz w:val="26"/>
      <w:szCs w:val="28"/>
    </w:rPr>
  </w:style>
  <w:style w:type="character" w:customStyle="1" w:styleId="Heading4Char">
    <w:name w:val="Heading 4 Char"/>
    <w:basedOn w:val="DefaultParagraphFont"/>
    <w:link w:val="Heading4"/>
    <w:uiPriority w:val="9"/>
    <w:semiHidden/>
    <w:rsid w:val="00BF4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BE"/>
    <w:rPr>
      <w:rFonts w:eastAsiaTheme="majorEastAsia" w:cstheme="majorBidi"/>
      <w:color w:val="272727" w:themeColor="text1" w:themeTint="D8"/>
    </w:rPr>
  </w:style>
  <w:style w:type="paragraph" w:styleId="Title">
    <w:name w:val="Title"/>
    <w:basedOn w:val="Normal"/>
    <w:next w:val="Normal"/>
    <w:link w:val="TitleChar"/>
    <w:uiPriority w:val="10"/>
    <w:qFormat/>
    <w:rsid w:val="00BF4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BE"/>
    <w:pPr>
      <w:spacing w:before="160"/>
      <w:jc w:val="center"/>
    </w:pPr>
    <w:rPr>
      <w:i/>
      <w:iCs/>
      <w:color w:val="404040" w:themeColor="text1" w:themeTint="BF"/>
    </w:rPr>
  </w:style>
  <w:style w:type="character" w:customStyle="1" w:styleId="QuoteChar">
    <w:name w:val="Quote Char"/>
    <w:basedOn w:val="DefaultParagraphFont"/>
    <w:link w:val="Quote"/>
    <w:uiPriority w:val="29"/>
    <w:rsid w:val="00BF48BE"/>
    <w:rPr>
      <w:i/>
      <w:iCs/>
      <w:color w:val="404040" w:themeColor="text1" w:themeTint="BF"/>
    </w:rPr>
  </w:style>
  <w:style w:type="paragraph" w:styleId="ListParagraph">
    <w:name w:val="List Paragraph"/>
    <w:basedOn w:val="Normal"/>
    <w:uiPriority w:val="34"/>
    <w:qFormat/>
    <w:rsid w:val="00BF48BE"/>
    <w:pPr>
      <w:ind w:left="720"/>
      <w:contextualSpacing/>
    </w:pPr>
  </w:style>
  <w:style w:type="character" w:styleId="IntenseEmphasis">
    <w:name w:val="Intense Emphasis"/>
    <w:basedOn w:val="DefaultParagraphFont"/>
    <w:uiPriority w:val="21"/>
    <w:qFormat/>
    <w:rsid w:val="00BF48BE"/>
    <w:rPr>
      <w:i/>
      <w:iCs/>
      <w:color w:val="0F4761" w:themeColor="accent1" w:themeShade="BF"/>
    </w:rPr>
  </w:style>
  <w:style w:type="paragraph" w:styleId="IntenseQuote">
    <w:name w:val="Intense Quote"/>
    <w:basedOn w:val="Normal"/>
    <w:next w:val="Normal"/>
    <w:link w:val="IntenseQuoteChar"/>
    <w:uiPriority w:val="30"/>
    <w:qFormat/>
    <w:rsid w:val="00BF4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8BE"/>
    <w:rPr>
      <w:i/>
      <w:iCs/>
      <w:color w:val="0F4761" w:themeColor="accent1" w:themeShade="BF"/>
    </w:rPr>
  </w:style>
  <w:style w:type="character" w:styleId="IntenseReference">
    <w:name w:val="Intense Reference"/>
    <w:basedOn w:val="DefaultParagraphFont"/>
    <w:uiPriority w:val="32"/>
    <w:qFormat/>
    <w:rsid w:val="00BF48BE"/>
    <w:rPr>
      <w:b/>
      <w:bCs/>
      <w:smallCaps/>
      <w:color w:val="0F4761" w:themeColor="accent1" w:themeShade="BF"/>
      <w:spacing w:val="5"/>
    </w:rPr>
  </w:style>
  <w:style w:type="paragraph" w:styleId="Header">
    <w:name w:val="header"/>
    <w:basedOn w:val="Normal"/>
    <w:link w:val="HeaderChar"/>
    <w:uiPriority w:val="99"/>
    <w:unhideWhenUsed/>
    <w:rsid w:val="00BF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8BE"/>
  </w:style>
  <w:style w:type="paragraph" w:styleId="Footer">
    <w:name w:val="footer"/>
    <w:basedOn w:val="Normal"/>
    <w:link w:val="FooterChar"/>
    <w:uiPriority w:val="99"/>
    <w:unhideWhenUsed/>
    <w:rsid w:val="00BF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bin"/><Relationship Id="rId13" Type="http://schemas.openxmlformats.org/officeDocument/2006/relationships/image" Target="media/image8.bin"/><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bin"/><Relationship Id="rId12" Type="http://schemas.openxmlformats.org/officeDocument/2006/relationships/image" Target="media/image7.bin"/><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bin"/><Relationship Id="rId11" Type="http://schemas.openxmlformats.org/officeDocument/2006/relationships/image" Target="media/image6.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bin"/><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image" Target="media/image4.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DEE80A15E8428BF7116FB6EA3FC9" ma:contentTypeVersion="24" ma:contentTypeDescription="Create a new document." ma:contentTypeScope="" ma:versionID="03e17897ba9f09b52cc8bbf56ea4ec22">
  <xsd:schema xmlns:xsd="http://www.w3.org/2001/XMLSchema" xmlns:xs="http://www.w3.org/2001/XMLSchema" xmlns:p="http://schemas.microsoft.com/office/2006/metadata/properties" xmlns:ns2="d53ffc77-9570-416f-b8ce-97d7c6acbadf" xmlns:ns3="77c3fc14-2e30-4e40-8eeb-3b52cfee7462" targetNamespace="http://schemas.microsoft.com/office/2006/metadata/properties" ma:root="true" ma:fieldsID="3e6ec5b12ba50b43e35a5cdab7752b75" ns2:_="" ns3:_="">
    <xsd:import namespace="d53ffc77-9570-416f-b8ce-97d7c6acbadf"/>
    <xsd:import namespace="77c3fc14-2e30-4e40-8eeb-3b52cfee74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CalendarYear" minOccurs="0"/>
                <xsd:element ref="ns2:PresenterOR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ffc77-9570-416f-b8ce-97d7c6acb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alendarYear" ma:index="27" nillable="true" ma:displayName="Calendar Year" ma:format="Dropdown" ma:internalName="CalendarYear">
      <xsd:simpleType>
        <xsd:restriction base="dms:Text">
          <xsd:maxLength value="255"/>
        </xsd:restriction>
      </xsd:simpleType>
    </xsd:element>
    <xsd:element name="PresenterORG" ma:index="28" nillable="true" ma:displayName="Presenter ORG" ma:format="Dropdown" ma:internalName="PresenterOR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c3fc14-2e30-4e40-8eeb-3b52cfee74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219e5c-395d-45d9-bf8c-5b248b101e56}" ma:internalName="TaxCatchAll" ma:showField="CatchAllData" ma:web="77c3fc14-2e30-4e40-8eeb-3b52cfee7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senterORG xmlns="d53ffc77-9570-416f-b8ce-97d7c6acbadf" xsi:nil="true"/>
    <TaxCatchAll xmlns="77c3fc14-2e30-4e40-8eeb-3b52cfee7462" xsi:nil="true"/>
    <CalendarYear xmlns="d53ffc77-9570-416f-b8ce-97d7c6acbadf" xsi:nil="true"/>
    <lcf76f155ced4ddcb4097134ff3c332f xmlns="d53ffc77-9570-416f-b8ce-97d7c6acba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741FD-5082-4D78-B608-4D5392E16431}"/>
</file>

<file path=customXml/itemProps2.xml><?xml version="1.0" encoding="utf-8"?>
<ds:datastoreItem xmlns:ds="http://schemas.openxmlformats.org/officeDocument/2006/customXml" ds:itemID="{0ECFCA25-21D7-473C-904F-C458ED7C1AF7}"/>
</file>

<file path=customXml/itemProps3.xml><?xml version="1.0" encoding="utf-8"?>
<ds:datastoreItem xmlns:ds="http://schemas.openxmlformats.org/officeDocument/2006/customXml" ds:itemID="{697FFD5B-91E2-47AC-8483-B5E4553EAD5F}"/>
</file>

<file path=docProps/app.xml><?xml version="1.0" encoding="utf-8"?>
<Properties xmlns="http://schemas.openxmlformats.org/officeDocument/2006/extended-properties" xmlns:vt="http://schemas.openxmlformats.org/officeDocument/2006/docPropsVTypes">
  <Template>Normal</Template>
  <TotalTime>0</TotalTime>
  <Pages>5</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Articulate</dc:creator>
  <cp:keywords/>
  <dc:description/>
  <cp:lastModifiedBy>Gottung, Lindsay</cp:lastModifiedBy>
  <cp:revision>2</cp:revision>
  <dcterms:created xsi:type="dcterms:W3CDTF">2026-05-27T20:16:00Z</dcterms:created>
  <dcterms:modified xsi:type="dcterms:W3CDTF">2026-05-27T20:16:00Z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0x010100B1F9DEE80A15E8428BF7116FB6EA3FC9</vt:lpwstr>
  </property>
</Properties>
</file>