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Intake</w:t>
      </w:r>
    </w:p>
    <w:p w14:paraId="483E5762" w14:textId="77777777" w:rsidR="00294CE3" w:rsidRDefault="00D05801">
      <w:pPr>
        <w:pStyle w:val="Heading1"/>
      </w:pPr>
      <w:r>
        <w:t>1. Intro Scene</w:t>
      </w:r>
    </w:p>
    <w:p w14:paraId="1AAB1FA6" w14:textId="77777777" w:rsidR="00294CE3" w:rsidRDefault="00D05801">
      <w:pPr>
        <w:pStyle w:val="Heading2"/>
      </w:pPr>
      <w:r>
        <w:t>1.1 Intake</w:t>
      </w:r>
    </w:p>
    <w:p w14:paraId="31E9DD00" w14:textId="77777777" w:rsidR="00294CE3" w:rsidRDefault="00D05801">
      <w:r>
        <w:rPr>
          <w:noProof/>
        </w:rPr>
        <w:drawing>
          <wp:inline distT="0" distB="0" distL="0" distR="0" wp14:anchorId="5AF5138C" wp14:editId="480AC16B">
            <wp:extent cx="3705225" cy="2781300"/>
            <wp:effectExtent l="0" t="0" r="0" b="0"/>
            <wp:docPr id="1" name="Slide image" descr="Introductory slide titled &quot;Intake&quot; indicating the beginning of modu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Intake&quot; indicating the beginning of module 18"/>
                    <pic:cNvPicPr/>
                  </pic:nvPicPr>
                  <pic:blipFill>
                    <a:blip r:embed="rId7" cstate="print"/>
                    <a:stretch>
                      <a:fillRect/>
                    </a:stretch>
                  </pic:blipFill>
                  <pic:spPr>
                    <a:xfrm>
                      <a:off x="0" y="0"/>
                      <a:ext cx="3705225" cy="2781300"/>
                    </a:xfrm>
                    <a:prstGeom prst="rect">
                      <a:avLst/>
                    </a:prstGeom>
                  </pic:spPr>
                </pic:pic>
              </a:graphicData>
            </a:graphic>
          </wp:inline>
        </w:drawing>
      </w:r>
    </w:p>
    <w:p w14:paraId="73D01D97" w14:textId="77777777" w:rsidR="00294CE3" w:rsidRDefault="00D05801">
      <w:r>
        <w:rPr>
          <w:b/>
        </w:rPr>
        <w:t>Notes:</w:t>
      </w:r>
    </w:p>
    <w:p w14:paraId="09AA5D8D"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[Upbeat music]</w:t>
      </w:r>
    </w:p>
    <w:p w14:paraId="3A086836" w14:textId="77777777" w:rsidR="00294CE3" w:rsidRDefault="00294CE3"/>
    <w:p w14:paraId="6F92B9D4" w14:textId="77777777" w:rsidR="00294CE3" w:rsidRDefault="00D05801">
      <w:pPr>
        <w:pStyle w:val="Heading2"/>
      </w:pPr>
      <w:r>
        <w:lastRenderedPageBreak/>
        <w:t>1.2 Disclaimer</w:t>
      </w:r>
    </w:p>
    <w:p w14:paraId="6AEFEE87" w14:textId="77777777" w:rsidR="00294CE3" w:rsidRDefault="00D05801">
      <w:r>
        <w:rPr>
          <w:noProof/>
        </w:rPr>
        <w:drawing>
          <wp:inline distT="0" distB="0" distL="0" distR="0" wp14:anchorId="06FBD63A" wp14:editId="5178670A">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8" cstate="print"/>
                    <a:stretch>
                      <a:fillRect/>
                    </a:stretch>
                  </pic:blipFill>
                  <pic:spPr>
                    <a:xfrm>
                      <a:off x="0" y="0"/>
                      <a:ext cx="3705225" cy="2781300"/>
                    </a:xfrm>
                    <a:prstGeom prst="rect">
                      <a:avLst/>
                    </a:prstGeom>
                  </pic:spPr>
                </pic:pic>
              </a:graphicData>
            </a:graphic>
          </wp:inline>
        </w:drawing>
      </w:r>
    </w:p>
    <w:p w14:paraId="119E9C45" w14:textId="77777777" w:rsidR="00294CE3" w:rsidRDefault="00D05801">
      <w:r>
        <w:rPr>
          <w:b/>
        </w:rPr>
        <w:t>Notes:</w:t>
      </w:r>
    </w:p>
    <w:p w14:paraId="4EF41D04"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All trainings and resources offered by the SUNY Student Conduct Institute (SCI) are the property of the State University of New York and may not be shared or duplicated without express written authorization from SCI or as required by law. SCI trainings and resources are intended to provide educational content and advise on general compliance, as applicable. SCI training and resources shall not constitute legal advice  or legal opinions on specific circumstances, and do not create an attorney-client relation</w:t>
      </w:r>
      <w:r>
        <w:rPr>
          <w:rFonts w:ascii="Open Sans" w:hAnsi="Open Sans" w:cs="Open Sans"/>
          <w:color w:val="000000"/>
          <w:kern w:val="0"/>
          <w:sz w:val="16"/>
          <w:szCs w:val="16"/>
        </w:rPr>
        <w:t xml:space="preserve">ship. Please consult with your own attorney or campus counsel to obtain advice regarding all matters specific to your institution.  </w:t>
      </w:r>
    </w:p>
    <w:p w14:paraId="0609F9E6" w14:textId="77777777" w:rsidR="00294CE3" w:rsidRDefault="00294CE3"/>
    <w:p w14:paraId="47C49F0E" w14:textId="77777777" w:rsidR="00294CE3" w:rsidRDefault="00D05801">
      <w:pPr>
        <w:pStyle w:val="Heading2"/>
      </w:pPr>
      <w:r>
        <w:t>1.3 Overview</w:t>
      </w:r>
    </w:p>
    <w:p w14:paraId="5D16C642" w14:textId="77777777" w:rsidR="00294CE3" w:rsidRDefault="00D05801">
      <w:r>
        <w:rPr>
          <w:noProof/>
        </w:rPr>
        <w:drawing>
          <wp:inline distT="0" distB="0" distL="0" distR="0" wp14:anchorId="065625EC" wp14:editId="2F778277">
            <wp:extent cx="3705225" cy="2781300"/>
            <wp:effectExtent l="0" t="0" r="0" b="0"/>
            <wp:docPr id="3" name="Slide image" descr="Presentation slide titled &quot;Overview&quot; outlining learning objectives related to Title IX Coordinators' responsibilities upon receiving sexual harassment allegations and institutional obligations upon obtaining actual knowledge or notice of mis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Presentation slide titled &quot;Overview&quot; outlining learning objectives related to Title IX Coordinators' responsibilities upon receiving sexual harassment allegations and institutional obligations upon obtaining actual knowledge or notice of misconduct"/>
                    <pic:cNvPicPr/>
                  </pic:nvPicPr>
                  <pic:blipFill>
                    <a:blip r:embed="rId9" cstate="print"/>
                    <a:stretch>
                      <a:fillRect/>
                    </a:stretch>
                  </pic:blipFill>
                  <pic:spPr>
                    <a:xfrm>
                      <a:off x="0" y="0"/>
                      <a:ext cx="3705225" cy="2781300"/>
                    </a:xfrm>
                    <a:prstGeom prst="rect">
                      <a:avLst/>
                    </a:prstGeom>
                  </pic:spPr>
                </pic:pic>
              </a:graphicData>
            </a:graphic>
          </wp:inline>
        </w:drawing>
      </w:r>
    </w:p>
    <w:p w14:paraId="4DC0BA93" w14:textId="77777777" w:rsidR="00294CE3" w:rsidRDefault="00D05801">
      <w:r>
        <w:rPr>
          <w:b/>
        </w:rPr>
        <w:lastRenderedPageBreak/>
        <w:t>Notes:</w:t>
      </w:r>
    </w:p>
    <w:p w14:paraId="342D26C3"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Welcome to the Intake portion of  the Title IX grievance process. We will discuss what the Title IX Coordinators will do when they receive reports of sexual harassment and the obligations of an institution once it gets “actual knowledge” or “notice” of this kind of misconduct.  </w:t>
      </w:r>
    </w:p>
    <w:p w14:paraId="4334D1D8" w14:textId="77777777" w:rsidR="00294CE3" w:rsidRDefault="00294CE3"/>
    <w:p w14:paraId="5C631E7D" w14:textId="77777777" w:rsidR="00294CE3" w:rsidRDefault="00D05801">
      <w:pPr>
        <w:pStyle w:val="Heading2"/>
      </w:pPr>
      <w:r>
        <w:t>1.4 Intake vs. Formal Complaint</w:t>
      </w:r>
    </w:p>
    <w:p w14:paraId="61958523" w14:textId="77777777" w:rsidR="00294CE3" w:rsidRDefault="00D05801">
      <w:r>
        <w:rPr>
          <w:noProof/>
        </w:rPr>
        <w:drawing>
          <wp:inline distT="0" distB="0" distL="0" distR="0" wp14:anchorId="31F980B6" wp14:editId="20461663">
            <wp:extent cx="3705225" cy="2781300"/>
            <wp:effectExtent l="0" t="0" r="0" b="0"/>
            <wp:docPr id="4" name="Slide image" descr="A slide presentation comparing intake and formal complaint processes under a final rule, using bullet points to explain key differences. The slide highlights that intake occurs when an institution is notified, formal complaint activates a grievance process, and intake may include allegations not covered as sexual harassment, affecting case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A slide presentation comparing intake and formal complaint processes under a final rule, using bullet points to explain key differences. The slide highlights that intake occurs when an institution is notified, formal complaint activates a grievance process, and intake may include allegations not covered as sexual harassment, affecting case venue"/>
                    <pic:cNvPicPr/>
                  </pic:nvPicPr>
                  <pic:blipFill>
                    <a:blip r:embed="rId10" cstate="print"/>
                    <a:stretch>
                      <a:fillRect/>
                    </a:stretch>
                  </pic:blipFill>
                  <pic:spPr>
                    <a:xfrm>
                      <a:off x="0" y="0"/>
                      <a:ext cx="3705225" cy="2781300"/>
                    </a:xfrm>
                    <a:prstGeom prst="rect">
                      <a:avLst/>
                    </a:prstGeom>
                  </pic:spPr>
                </pic:pic>
              </a:graphicData>
            </a:graphic>
          </wp:inline>
        </w:drawing>
      </w:r>
    </w:p>
    <w:p w14:paraId="402186DA" w14:textId="77777777" w:rsidR="00294CE3" w:rsidRDefault="00D05801">
      <w:r>
        <w:rPr>
          <w:b/>
        </w:rPr>
        <w:t>Notes:</w:t>
      </w:r>
    </w:p>
    <w:p w14:paraId="557C8EE7"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It's important the complainant fully understands that the intake is different from the formal complaint. In the Final Rule, the intake is when the institution has been notified, but the formal complaint is when a grievance process has been activated in the hopes of resolving the complaint. The intake may not result in the pursuit of a disciplinary process, or a Title IX grievance process at all. In fact, the intake may detail allegations of misconduct that don’t constitute covered sexual harassment, which w</w:t>
      </w:r>
      <w:r>
        <w:rPr>
          <w:rFonts w:ascii="Open Sans" w:hAnsi="Open Sans" w:cs="Open Sans"/>
          <w:color w:val="000000"/>
          <w:kern w:val="0"/>
          <w:sz w:val="16"/>
          <w:szCs w:val="16"/>
        </w:rPr>
        <w:t>ould move the case to another venue for resolution.</w:t>
      </w:r>
    </w:p>
    <w:p w14:paraId="268325E3" w14:textId="77777777" w:rsidR="00294CE3" w:rsidRDefault="00294CE3"/>
    <w:p w14:paraId="10513382" w14:textId="77777777" w:rsidR="00294CE3" w:rsidRDefault="00D05801">
      <w:pPr>
        <w:pStyle w:val="Heading2"/>
      </w:pPr>
      <w:r>
        <w:lastRenderedPageBreak/>
        <w:t>1.5 Complainant’s Intentions</w:t>
      </w:r>
    </w:p>
    <w:p w14:paraId="1631C4FE" w14:textId="77777777" w:rsidR="00294CE3" w:rsidRDefault="00D05801">
      <w:r>
        <w:rPr>
          <w:noProof/>
        </w:rPr>
        <w:drawing>
          <wp:inline distT="0" distB="0" distL="0" distR="0" wp14:anchorId="4BCBA5E0" wp14:editId="702AB2CA">
            <wp:extent cx="3705225" cy="2781300"/>
            <wp:effectExtent l="0" t="0" r="0" b="0"/>
            <wp:docPr id="5" name="Slide image" descr="Slide titled &quot;Complainant's Intentions,&quot; with three bullet points underneath that explain that the intake officer would get a sense of complainant's intentions, complainant may continue to file or just want supportive measures, and the Title IX Coordinator may have to file even if complainant decides no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Complainant's Intentions,&quot; with three bullet points underneath that explain that the intake officer would get a sense of complainant's intentions, complainant may continue to file or just want supportive measures, and the Title IX Coordinator may have to file even if complainant decides not to"/>
                    <pic:cNvPicPr/>
                  </pic:nvPicPr>
                  <pic:blipFill>
                    <a:blip r:embed="rId11" cstate="print"/>
                    <a:stretch>
                      <a:fillRect/>
                    </a:stretch>
                  </pic:blipFill>
                  <pic:spPr>
                    <a:xfrm>
                      <a:off x="0" y="0"/>
                      <a:ext cx="3705225" cy="2781300"/>
                    </a:xfrm>
                    <a:prstGeom prst="rect">
                      <a:avLst/>
                    </a:prstGeom>
                  </pic:spPr>
                </pic:pic>
              </a:graphicData>
            </a:graphic>
          </wp:inline>
        </w:drawing>
      </w:r>
    </w:p>
    <w:p w14:paraId="0E5EF1AF" w14:textId="77777777" w:rsidR="00294CE3" w:rsidRDefault="00D05801">
      <w:r>
        <w:rPr>
          <w:b/>
        </w:rPr>
        <w:t>Notes:</w:t>
      </w:r>
    </w:p>
    <w:p w14:paraId="50A6ADA2"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During that time, the intake officer would get a sense of the complainant’s intentions. They may wish to continue with the grievance process and file a formal complaint, or they simply wish for some supportive measures. Either way, the intake officer can maintain the complainant’s autonomy and agency throughout this process. And remember, there are some situations where the Title IX Coordinator will decide they need to initiate a formal complaint, even if the complainant has not decided to file one.  </w:t>
      </w:r>
    </w:p>
    <w:p w14:paraId="25600648" w14:textId="77777777" w:rsidR="00294CE3" w:rsidRDefault="00294CE3"/>
    <w:p w14:paraId="6FDDB73E" w14:textId="77777777" w:rsidR="00294CE3" w:rsidRDefault="00D05801">
      <w:pPr>
        <w:pStyle w:val="Heading2"/>
      </w:pPr>
      <w:r>
        <w:t>1.6 Receiving a Report</w:t>
      </w:r>
    </w:p>
    <w:p w14:paraId="27CBC37B" w14:textId="77777777" w:rsidR="00294CE3" w:rsidRDefault="00D05801">
      <w:r>
        <w:rPr>
          <w:noProof/>
        </w:rPr>
        <w:drawing>
          <wp:inline distT="0" distB="0" distL="0" distR="0" wp14:anchorId="5EA76175" wp14:editId="7C1A7F0D">
            <wp:extent cx="3705225" cy="2781300"/>
            <wp:effectExtent l="0" t="0" r="0" b="0"/>
            <wp:docPr id="6" name="Slide image" descr="A slide presentation titled &quot;Receiving a Report&quot; with text explaining the sensitive nature of receiving sexual harassment reports and the Title IX Coordinator's responsibilities in handling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 slide presentation titled &quot;Receiving a Report&quot; with text explaining the sensitive nature of receiving sexual harassment reports and the Title IX Coordinator's responsibilities in handling next steps"/>
                    <pic:cNvPicPr/>
                  </pic:nvPicPr>
                  <pic:blipFill>
                    <a:blip r:embed="rId12" cstate="print"/>
                    <a:stretch>
                      <a:fillRect/>
                    </a:stretch>
                  </pic:blipFill>
                  <pic:spPr>
                    <a:xfrm>
                      <a:off x="0" y="0"/>
                      <a:ext cx="3705225" cy="2781300"/>
                    </a:xfrm>
                    <a:prstGeom prst="rect">
                      <a:avLst/>
                    </a:prstGeom>
                  </pic:spPr>
                </pic:pic>
              </a:graphicData>
            </a:graphic>
          </wp:inline>
        </w:drawing>
      </w:r>
    </w:p>
    <w:p w14:paraId="4F170632" w14:textId="77777777" w:rsidR="00294CE3" w:rsidRDefault="00D05801">
      <w:r>
        <w:rPr>
          <w:b/>
        </w:rPr>
        <w:t>Notes:</w:t>
      </w:r>
    </w:p>
    <w:p w14:paraId="03479A61"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Receiving a report of sexual harassment is a delicate part of the grievance process. An individual is coming to you and sharing something personal and intimate about their lives. The Title IX Coordinator who receives that information is responsible for the next steps, which come with some serious obligations.</w:t>
      </w:r>
    </w:p>
    <w:p w14:paraId="6CFA35AE" w14:textId="77777777" w:rsidR="00294CE3" w:rsidRDefault="00294CE3"/>
    <w:p w14:paraId="55EA4820" w14:textId="77777777" w:rsidR="00294CE3" w:rsidRDefault="00D05801">
      <w:pPr>
        <w:pStyle w:val="Heading2"/>
      </w:pPr>
      <w:r>
        <w:t>1.7 Actual Notice or Knowledge</w:t>
      </w:r>
    </w:p>
    <w:p w14:paraId="17DDE465" w14:textId="77777777" w:rsidR="00294CE3" w:rsidRDefault="00D05801">
      <w:r>
        <w:rPr>
          <w:noProof/>
        </w:rPr>
        <w:drawing>
          <wp:inline distT="0" distB="0" distL="0" distR="0" wp14:anchorId="5652B299" wp14:editId="72AAE066">
            <wp:extent cx="3705225" cy="2781300"/>
            <wp:effectExtent l="0" t="0" r="0" b="0"/>
            <wp:docPr id="7" name="Slide image" descr="A text-based slide titled &quot;Actual Notice or Knowledge&quot; explains the Final Rule's definition of actual notice regarding sexual harassment allegations. The slide features a summary containing the detailed legal text, emphasizing authority of Title IX Coordinators or officials in elementary and secondar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A text-based slide titled &quot;Actual Notice or Knowledge&quot; explains the Final Rule's definition of actual notice regarding sexual harassment allegations. The slide features a summary containing the detailed legal text, emphasizing authority of Title IX Coordinators or officials in elementary and secondary schools"/>
                    <pic:cNvPicPr/>
                  </pic:nvPicPr>
                  <pic:blipFill>
                    <a:blip r:embed="rId13" cstate="print"/>
                    <a:stretch>
                      <a:fillRect/>
                    </a:stretch>
                  </pic:blipFill>
                  <pic:spPr>
                    <a:xfrm>
                      <a:off x="0" y="0"/>
                      <a:ext cx="3705225" cy="2781300"/>
                    </a:xfrm>
                    <a:prstGeom prst="rect">
                      <a:avLst/>
                    </a:prstGeom>
                  </pic:spPr>
                </pic:pic>
              </a:graphicData>
            </a:graphic>
          </wp:inline>
        </w:drawing>
      </w:r>
    </w:p>
    <w:p w14:paraId="368FB854" w14:textId="77777777" w:rsidR="00294CE3" w:rsidRDefault="00D05801">
      <w:r>
        <w:rPr>
          <w:b/>
        </w:rPr>
        <w:t>Notes:</w:t>
      </w:r>
    </w:p>
    <w:p w14:paraId="40B4899E"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Let’s look at what constitutes “actual knowledge” or “notice,” as that is what will trigger the next steps for the Title IX Coordinator. The Final Rule tells us that actual notice is: </w:t>
      </w:r>
    </w:p>
    <w:p w14:paraId="69105800"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p>
    <w:p w14:paraId="330CDD87"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“noti</w:t>
      </w:r>
      <w:r>
        <w:rPr>
          <w:rFonts w:ascii="Open Sans" w:hAnsi="Open Sans" w:cs="Open Sans"/>
          <w:color w:val="000000"/>
          <w:kern w:val="0"/>
          <w:sz w:val="16"/>
          <w:szCs w:val="16"/>
        </w:rPr>
        <w:t xml:space="preserve">ce of sexual harassment or allegations of sexual harassment to a recipient’s Title IX Coordinator or any official of the recipient who has the authority to  institute corrective measures on behalf of the recipient, or to any employee of an elementary and secondary school.” </w:t>
      </w:r>
    </w:p>
    <w:p w14:paraId="0F9B629B" w14:textId="77777777" w:rsidR="00294CE3" w:rsidRDefault="00294CE3"/>
    <w:p w14:paraId="572290A0" w14:textId="77777777" w:rsidR="00294CE3" w:rsidRDefault="00D05801">
      <w:pPr>
        <w:pStyle w:val="Heading2"/>
      </w:pPr>
      <w:r>
        <w:lastRenderedPageBreak/>
        <w:t>1.8 Caveat for Postsecondary Institutions</w:t>
      </w:r>
    </w:p>
    <w:p w14:paraId="64132C6E" w14:textId="77777777" w:rsidR="00294CE3" w:rsidRDefault="00D05801">
      <w:r>
        <w:rPr>
          <w:noProof/>
        </w:rPr>
        <w:drawing>
          <wp:inline distT="0" distB="0" distL="0" distR="0" wp14:anchorId="3D9A8368" wp14:editId="7513D509">
            <wp:extent cx="3705225" cy="2781300"/>
            <wp:effectExtent l="0" t="0" r="0" b="0"/>
            <wp:docPr id="8" name="Slide image" descr="Slide titled &quot;Caveat for Postsecondary Institutions&quot; outlining exceptions to mandatory reporting requirements for certain employees. The slide features three text boxes with bullet points, emphasizing specific reporting conditions related to Title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led &quot;Caveat for Postsecondary Institutions&quot; outlining exceptions to mandatory reporting requirements for certain employees. The slide features three text boxes with bullet points, emphasizing specific reporting conditions related to Title IX"/>
                    <pic:cNvPicPr/>
                  </pic:nvPicPr>
                  <pic:blipFill>
                    <a:blip r:embed="rId14" cstate="print"/>
                    <a:stretch>
                      <a:fillRect/>
                    </a:stretch>
                  </pic:blipFill>
                  <pic:spPr>
                    <a:xfrm>
                      <a:off x="0" y="0"/>
                      <a:ext cx="3705225" cy="2781300"/>
                    </a:xfrm>
                    <a:prstGeom prst="rect">
                      <a:avLst/>
                    </a:prstGeom>
                  </pic:spPr>
                </pic:pic>
              </a:graphicData>
            </a:graphic>
          </wp:inline>
        </w:drawing>
      </w:r>
    </w:p>
    <w:p w14:paraId="4E9C5DCA" w14:textId="77777777" w:rsidR="00294CE3" w:rsidRDefault="00D05801">
      <w:r>
        <w:rPr>
          <w:b/>
        </w:rPr>
        <w:t>Notes:</w:t>
      </w:r>
    </w:p>
    <w:p w14:paraId="2F832D1A"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There’s a caveat where postsecondary institutions are not required to impose “universal mandatory reporting obligations” upon all employees. That requirement is only for K to 12. Knowing this, institutions can decide for themselves who on their campuses are designated as mandatory reporters and who are not. This includes determining which employees are confidential resources. Additionally, your state law may mandate reporting to the Title IX Coordinator in some situations.  </w:t>
      </w:r>
    </w:p>
    <w:p w14:paraId="56660CD2" w14:textId="77777777" w:rsidR="00294CE3" w:rsidRDefault="00294CE3"/>
    <w:p w14:paraId="2406ADFB" w14:textId="77777777" w:rsidR="00294CE3" w:rsidRDefault="00D05801">
      <w:pPr>
        <w:pStyle w:val="Heading2"/>
      </w:pPr>
      <w:r>
        <w:t>1.9 Why does “actual knowledge” matter to an institution?</w:t>
      </w:r>
    </w:p>
    <w:p w14:paraId="2F4D39EC" w14:textId="77777777" w:rsidR="00294CE3" w:rsidRDefault="00D05801">
      <w:r>
        <w:rPr>
          <w:noProof/>
        </w:rPr>
        <w:drawing>
          <wp:inline distT="0" distB="0" distL="0" distR="0" wp14:anchorId="6BAFEEDE" wp14:editId="72B624FF">
            <wp:extent cx="3705225" cy="2781300"/>
            <wp:effectExtent l="0" t="0" r="0" b="0"/>
            <wp:docPr id="9" name="Slide image" descr="Text discussing the importance of &quot;actual knowledge&quot; to an institution. Text highlights criteria for determining institutional indifference to sexual harassment, including requirements for awareness and clarity of know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Text discussing the importance of &quot;actual knowledge&quot; to an institution. Text highlights criteria for determining institutional indifference to sexual harassment, including requirements for awareness and clarity of known facts"/>
                    <pic:cNvPicPr/>
                  </pic:nvPicPr>
                  <pic:blipFill>
                    <a:blip r:embed="rId15" cstate="print"/>
                    <a:stretch>
                      <a:fillRect/>
                    </a:stretch>
                  </pic:blipFill>
                  <pic:spPr>
                    <a:xfrm>
                      <a:off x="0" y="0"/>
                      <a:ext cx="3705225" cy="2781300"/>
                    </a:xfrm>
                    <a:prstGeom prst="rect">
                      <a:avLst/>
                    </a:prstGeom>
                  </pic:spPr>
                </pic:pic>
              </a:graphicData>
            </a:graphic>
          </wp:inline>
        </w:drawing>
      </w:r>
    </w:p>
    <w:p w14:paraId="40B3CE01" w14:textId="77777777" w:rsidR="00294CE3" w:rsidRDefault="00D05801">
      <w:r>
        <w:rPr>
          <w:b/>
        </w:rPr>
        <w:t>Notes:</w:t>
      </w:r>
    </w:p>
    <w:p w14:paraId="6AF05928"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 xml:space="preserve">Why does “actual knowledge” matter to an institution? It is an important factor when determining if an institution has acted with “deliberate indifference” upon hearing about allegations of sexual harassment.  </w:t>
      </w:r>
      <w:r>
        <w:rPr>
          <w:rFonts w:ascii="Open Sans" w:hAnsi="Open Sans" w:cs="Open Sans"/>
          <w:color w:val="000000"/>
          <w:kern w:val="0"/>
          <w:sz w:val="16"/>
          <w:szCs w:val="16"/>
        </w:rPr>
        <w:br/>
        <w:t xml:space="preserve">The Final Rule informs us that institutions are required to respond to notices of sexual harassment in a manner that is not “deliberately indifferent.” This means that the institution has acted in such a way that is “not clearly unreasonable in light of the known circumstances.” </w:t>
      </w:r>
    </w:p>
    <w:p w14:paraId="21994B45" w14:textId="77777777" w:rsidR="00294CE3" w:rsidRDefault="00294CE3"/>
    <w:p w14:paraId="10E953BC" w14:textId="77777777" w:rsidR="00294CE3" w:rsidRDefault="00D05801">
      <w:pPr>
        <w:pStyle w:val="Heading2"/>
      </w:pPr>
      <w:r>
        <w:t>1.10 Deliberately Indifferent Response</w:t>
      </w:r>
    </w:p>
    <w:p w14:paraId="623E1994" w14:textId="77777777" w:rsidR="00294CE3" w:rsidRDefault="00D05801">
      <w:r>
        <w:rPr>
          <w:noProof/>
        </w:rPr>
        <w:drawing>
          <wp:inline distT="0" distB="0" distL="0" distR="0" wp14:anchorId="576B9C6E" wp14:editId="351BB51C">
            <wp:extent cx="3705225" cy="2781300"/>
            <wp:effectExtent l="0" t="0" r="0" b="0"/>
            <wp:docPr id="10" name="Slide image" descr="Partial flowchart titled &quot;Deliberately Indifferent Response&quot; showing three labeled pink boxes describing types of responses: &quot;Inadequate,&quot; &quot;Willfully indifferent, clearly unreasonable,&quot; and &quot;Harmful, denying complainant benefits.&quot; The chart suggests a context of legal or administrativ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Partial flowchart titled &quot;Deliberately Indifferent Response&quot; showing three labeled pink boxes describing types of responses: &quot;Inadequate,&quot; &quot;Willfully indifferent, clearly unreasonable,&quot; and &quot;Harmful, denying complainant benefits.&quot; The chart suggests a context of legal or administrative evaluation"/>
                    <pic:cNvPicPr/>
                  </pic:nvPicPr>
                  <pic:blipFill>
                    <a:blip r:embed="rId16" cstate="print"/>
                    <a:stretch>
                      <a:fillRect/>
                    </a:stretch>
                  </pic:blipFill>
                  <pic:spPr>
                    <a:xfrm>
                      <a:off x="0" y="0"/>
                      <a:ext cx="3705225" cy="2781300"/>
                    </a:xfrm>
                    <a:prstGeom prst="rect">
                      <a:avLst/>
                    </a:prstGeom>
                  </pic:spPr>
                </pic:pic>
              </a:graphicData>
            </a:graphic>
          </wp:inline>
        </w:drawing>
      </w:r>
    </w:p>
    <w:p w14:paraId="03682B25" w14:textId="77777777" w:rsidR="00294CE3" w:rsidRDefault="00D05801">
      <w:r>
        <w:rPr>
          <w:b/>
        </w:rPr>
        <w:t>Notes:</w:t>
      </w:r>
    </w:p>
    <w:p w14:paraId="3A993BD4"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What makes a response deliberately indifferent? The institution’s responses was: </w:t>
      </w:r>
    </w:p>
    <w:p w14:paraId="2398F85A"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p>
    <w:p w14:paraId="3E7C6159"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r>
        <w:rPr>
          <w:rFonts w:ascii="Open Sans" w:hAnsi="Open Sans" w:cs="Open Sans"/>
          <w:color w:val="000000"/>
          <w:kern w:val="0"/>
          <w:sz w:val="16"/>
          <w:szCs w:val="16"/>
        </w:rPr>
        <w:t xml:space="preserve">Inadequate </w:t>
      </w:r>
    </w:p>
    <w:p w14:paraId="44AF6634"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p>
    <w:p w14:paraId="17F0AEB0"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r>
        <w:rPr>
          <w:rFonts w:ascii="Open Sans" w:hAnsi="Open Sans" w:cs="Open Sans"/>
          <w:color w:val="000000"/>
          <w:kern w:val="0"/>
          <w:sz w:val="16"/>
          <w:szCs w:val="16"/>
        </w:rPr>
        <w:t xml:space="preserve">Willfully indifferent, or clearly unreasonable; and </w:t>
      </w:r>
    </w:p>
    <w:p w14:paraId="076A4898"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p>
    <w:p w14:paraId="136F9A9B"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Causes </w:t>
      </w:r>
      <w:proofErr w:type="gramStart"/>
      <w:r>
        <w:rPr>
          <w:rFonts w:ascii="Open Sans" w:hAnsi="Open Sans" w:cs="Open Sans"/>
          <w:color w:val="000000"/>
          <w:kern w:val="0"/>
          <w:sz w:val="16"/>
          <w:szCs w:val="16"/>
        </w:rPr>
        <w:t>harm, or</w:t>
      </w:r>
      <w:proofErr w:type="gramEnd"/>
      <w:r>
        <w:rPr>
          <w:rFonts w:ascii="Open Sans" w:hAnsi="Open Sans" w:cs="Open Sans"/>
          <w:color w:val="000000"/>
          <w:kern w:val="0"/>
          <w:sz w:val="16"/>
          <w:szCs w:val="16"/>
        </w:rPr>
        <w:t xml:space="preserve"> denies the complainant educational benefits they are entitled to. </w:t>
      </w:r>
    </w:p>
    <w:p w14:paraId="3B8AE64E" w14:textId="77777777" w:rsidR="00294CE3" w:rsidRDefault="00294CE3"/>
    <w:p w14:paraId="5AB20870" w14:textId="77777777" w:rsidR="00294CE3" w:rsidRDefault="00D05801">
      <w:pPr>
        <w:pStyle w:val="Heading2"/>
      </w:pPr>
      <w:r>
        <w:lastRenderedPageBreak/>
        <w:t>1.11 Deliberate Indifference Examples</w:t>
      </w:r>
    </w:p>
    <w:p w14:paraId="7AFAA32D" w14:textId="77777777" w:rsidR="00294CE3" w:rsidRDefault="00D05801">
      <w:r>
        <w:rPr>
          <w:noProof/>
        </w:rPr>
        <w:drawing>
          <wp:inline distT="0" distB="0" distL="0" distR="0" wp14:anchorId="565D0373" wp14:editId="3D643D85">
            <wp:extent cx="3705225" cy="2781300"/>
            <wp:effectExtent l="0" t="0" r="0" b="0"/>
            <wp:docPr id="11" name="Slide image" descr="Graphic with two text boxes under the title &quot;Deliberate Indifference Examples&quot; explaining failures in handling misconduct and sexual harassment reports. Each box features an explanation of lack of proper investigation and support after receiving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Graphic with two text boxes under the title &quot;Deliberate Indifference Examples&quot; explaining failures in handling misconduct and sexual harassment reports. Each box features an explanation of lack of proper investigation and support after receiving complaints"/>
                    <pic:cNvPicPr/>
                  </pic:nvPicPr>
                  <pic:blipFill>
                    <a:blip r:embed="rId17" cstate="print"/>
                    <a:stretch>
                      <a:fillRect/>
                    </a:stretch>
                  </pic:blipFill>
                  <pic:spPr>
                    <a:xfrm>
                      <a:off x="0" y="0"/>
                      <a:ext cx="3705225" cy="2781300"/>
                    </a:xfrm>
                    <a:prstGeom prst="rect">
                      <a:avLst/>
                    </a:prstGeom>
                  </pic:spPr>
                </pic:pic>
              </a:graphicData>
            </a:graphic>
          </wp:inline>
        </w:drawing>
      </w:r>
    </w:p>
    <w:p w14:paraId="7C52E42A" w14:textId="77777777" w:rsidR="00294CE3" w:rsidRDefault="00D05801">
      <w:r>
        <w:rPr>
          <w:b/>
        </w:rPr>
        <w:t>Notes:</w:t>
      </w:r>
    </w:p>
    <w:p w14:paraId="20CA0E4D"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Some examples of what would constitute “deliberate indifference” would be a failure to conduct a proper investigation after receiving actual knowledge of misconduct, or failing to provide appropriate support or remedies for the complainant after receiving a report of sexual harassment.  </w:t>
      </w:r>
    </w:p>
    <w:p w14:paraId="029359D2" w14:textId="77777777" w:rsidR="00294CE3" w:rsidRDefault="00294CE3"/>
    <w:p w14:paraId="69E98974" w14:textId="77777777" w:rsidR="00294CE3" w:rsidRDefault="00D05801">
      <w:pPr>
        <w:pStyle w:val="Heading2"/>
      </w:pPr>
      <w:r>
        <w:t>1.12 U.S. Department of Education Recommendations</w:t>
      </w:r>
    </w:p>
    <w:p w14:paraId="3F4B21E0" w14:textId="77777777" w:rsidR="00294CE3" w:rsidRDefault="00D05801">
      <w:r>
        <w:rPr>
          <w:noProof/>
        </w:rPr>
        <w:drawing>
          <wp:inline distT="0" distB="0" distL="0" distR="0" wp14:anchorId="495A244D" wp14:editId="5D072D18">
            <wp:extent cx="3705225" cy="2781300"/>
            <wp:effectExtent l="0" t="0" r="0" b="0"/>
            <wp:docPr id="12" name="Slide image" descr="Screenshot of U.S. Department of Education recommendations outlining key responsibilities for Title IX Coordinators, including prompt contact with complainants, collaboration with law enforcement, and providing accommodations for disabilities. Text highlights procedural guidance on explaining complaint filing processes, protecting constitutional rights, and following grievance procedures before sa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creenshot of U.S. Department of Education recommendations outlining key responsibilities for Title IX Coordinators, including prompt contact with complainants, collaboration with law enforcement, and providing accommodations for disabilities. Text highlights procedural guidance on explaining complaint filing processes, protecting constitutional rights, and following grievance procedures before sanctions"/>
                    <pic:cNvPicPr/>
                  </pic:nvPicPr>
                  <pic:blipFill>
                    <a:blip r:embed="rId18" cstate="print"/>
                    <a:stretch>
                      <a:fillRect/>
                    </a:stretch>
                  </pic:blipFill>
                  <pic:spPr>
                    <a:xfrm>
                      <a:off x="0" y="0"/>
                      <a:ext cx="3705225" cy="2781300"/>
                    </a:xfrm>
                    <a:prstGeom prst="rect">
                      <a:avLst/>
                    </a:prstGeom>
                  </pic:spPr>
                </pic:pic>
              </a:graphicData>
            </a:graphic>
          </wp:inline>
        </w:drawing>
      </w:r>
    </w:p>
    <w:p w14:paraId="405F6D16" w14:textId="77777777" w:rsidR="00294CE3" w:rsidRDefault="00D05801">
      <w:r>
        <w:rPr>
          <w:b/>
        </w:rPr>
        <w:t>Notes:</w:t>
      </w:r>
    </w:p>
    <w:p w14:paraId="0A5D3397"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The Department of Education has also given us some information about how they would like institutions to respond to </w:t>
      </w:r>
      <w:r>
        <w:rPr>
          <w:rFonts w:ascii="Open Sans" w:hAnsi="Open Sans" w:cs="Open Sans"/>
          <w:color w:val="000000"/>
          <w:kern w:val="0"/>
          <w:sz w:val="16"/>
          <w:szCs w:val="16"/>
        </w:rPr>
        <w:lastRenderedPageBreak/>
        <w:t xml:space="preserve">complaints.  </w:t>
      </w:r>
      <w:r>
        <w:rPr>
          <w:rFonts w:ascii="Open Sans" w:hAnsi="Open Sans" w:cs="Open Sans"/>
          <w:color w:val="000000"/>
          <w:kern w:val="0"/>
          <w:sz w:val="16"/>
          <w:szCs w:val="16"/>
        </w:rPr>
        <w:br/>
        <w:t xml:space="preserve">Upon receipt of a report, the Title IX Coordinator must promptly contact the complainant to discuss supportive measures, and consider the complainant’s wishes, and inform the complainant of the available of supportive measures with or without the filing of a formal complaint </w:t>
      </w:r>
      <w:r>
        <w:rPr>
          <w:rFonts w:ascii="Open Sans" w:hAnsi="Open Sans" w:cs="Open Sans"/>
          <w:color w:val="000000"/>
          <w:kern w:val="0"/>
          <w:sz w:val="16"/>
          <w:szCs w:val="16"/>
        </w:rPr>
        <w:br/>
      </w:r>
    </w:p>
    <w:p w14:paraId="3490D0D8"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The Coordinator should explain the process for filing a formal complaint to the complainant, which should not restrict rights protected under the US Constitution, including the 1st, 5th, and 14th amendments. </w:t>
      </w:r>
      <w:r>
        <w:rPr>
          <w:rFonts w:ascii="Open Sans" w:hAnsi="Open Sans" w:cs="Open Sans"/>
          <w:color w:val="000000"/>
          <w:kern w:val="0"/>
          <w:sz w:val="16"/>
          <w:szCs w:val="16"/>
        </w:rPr>
        <w:br/>
        <w:t xml:space="preserve">The institution must follow a compliant grievance before sanctions can be levied, which is discussed later in this compliance certificate.  </w:t>
      </w:r>
    </w:p>
    <w:p w14:paraId="32A8AFA8" w14:textId="77777777" w:rsidR="00294CE3" w:rsidRDefault="00294CE3"/>
    <w:p w14:paraId="0C679AEC" w14:textId="77777777" w:rsidR="00294CE3" w:rsidRDefault="00D05801">
      <w:pPr>
        <w:pStyle w:val="Heading2"/>
      </w:pPr>
      <w:r>
        <w:t>1.13 Good Cause</w:t>
      </w:r>
    </w:p>
    <w:p w14:paraId="7DAF0FDF" w14:textId="77777777" w:rsidR="00294CE3" w:rsidRDefault="00D05801">
      <w:r>
        <w:rPr>
          <w:noProof/>
        </w:rPr>
        <w:drawing>
          <wp:inline distT="0" distB="0" distL="0" distR="0" wp14:anchorId="222F696D" wp14:editId="666666D7">
            <wp:extent cx="3705225" cy="2781300"/>
            <wp:effectExtent l="0" t="0" r="0" b="0"/>
            <wp:docPr id="13" name="Slide image" descr="Text-based informational graphic explaining that grievance process may experience temporary delays for Good Cause due to notice and rationale provided to both parties. Key reasons listed include absence of a party, absence of a party’s advisor, and absence of a witness, with text presented in boxes under a bold blue header titled &quot;Good Cause.&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Text-based informational graphic explaining that grievance process may experience temporary delays for Good Cause due to notice and rationale provided to both parties. Key reasons listed include absence of a party, absence of a party’s advisor, and absence of a witness, with text presented in boxes under a bold blue header titled &quot;Good Cause.&quot;&#10;&#10;"/>
                    <pic:cNvPicPr/>
                  </pic:nvPicPr>
                  <pic:blipFill>
                    <a:blip r:embed="rId19" cstate="print"/>
                    <a:stretch>
                      <a:fillRect/>
                    </a:stretch>
                  </pic:blipFill>
                  <pic:spPr>
                    <a:xfrm>
                      <a:off x="0" y="0"/>
                      <a:ext cx="3705225" cy="2781300"/>
                    </a:xfrm>
                    <a:prstGeom prst="rect">
                      <a:avLst/>
                    </a:prstGeom>
                  </pic:spPr>
                </pic:pic>
              </a:graphicData>
            </a:graphic>
          </wp:inline>
        </w:drawing>
      </w:r>
    </w:p>
    <w:p w14:paraId="4000CA6F" w14:textId="77777777" w:rsidR="00294CE3" w:rsidRDefault="00D05801">
      <w:r>
        <w:rPr>
          <w:b/>
        </w:rPr>
        <w:t>Notes:</w:t>
      </w:r>
    </w:p>
    <w:p w14:paraId="7245D120"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The grievance process may have a temporary delay for good cause, so long as there is notice to both parties including the rationale for the delay. Good cause may include: </w:t>
      </w:r>
    </w:p>
    <w:p w14:paraId="7B74BDC5" w14:textId="77777777" w:rsidR="00D05801" w:rsidRDefault="00D05801">
      <w:pPr>
        <w:widowControl w:val="0"/>
        <w:autoSpaceDE w:val="0"/>
        <w:autoSpaceDN w:val="0"/>
        <w:adjustRightInd w:val="0"/>
        <w:spacing w:after="0" w:line="240" w:lineRule="auto"/>
        <w:rPr>
          <w:rFonts w:ascii="Open Sans" w:hAnsi="Open Sans" w:cs="Open Sans"/>
          <w:color w:val="000000"/>
          <w:kern w:val="0"/>
          <w:sz w:val="16"/>
          <w:szCs w:val="16"/>
        </w:rPr>
      </w:pPr>
    </w:p>
    <w:p w14:paraId="48A1263A"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Absence of a party, a party’s advisor, or witness; </w:t>
      </w:r>
      <w:r>
        <w:rPr>
          <w:rFonts w:ascii="Open Sans" w:hAnsi="Open Sans" w:cs="Open Sans"/>
          <w:color w:val="000000"/>
          <w:kern w:val="0"/>
          <w:sz w:val="16"/>
          <w:szCs w:val="16"/>
        </w:rPr>
        <w:br/>
      </w:r>
      <w:r>
        <w:rPr>
          <w:rFonts w:ascii="Open Sans" w:hAnsi="Open Sans" w:cs="Open Sans"/>
          <w:color w:val="000000"/>
          <w:kern w:val="0"/>
          <w:sz w:val="16"/>
          <w:szCs w:val="16"/>
        </w:rPr>
        <w:t xml:space="preserve">Concurrent law enforcement activity; or </w:t>
      </w:r>
      <w:r>
        <w:rPr>
          <w:rFonts w:ascii="Open Sans" w:hAnsi="Open Sans" w:cs="Open Sans"/>
          <w:color w:val="000000"/>
          <w:kern w:val="0"/>
          <w:sz w:val="16"/>
          <w:szCs w:val="16"/>
        </w:rPr>
        <w:br/>
        <w:t xml:space="preserve">The need for language assistance or accommodation of disabilities. </w:t>
      </w:r>
    </w:p>
    <w:p w14:paraId="69445C0E" w14:textId="77777777" w:rsidR="00294CE3" w:rsidRDefault="00294CE3"/>
    <w:p w14:paraId="7E8C6EE2" w14:textId="77777777" w:rsidR="00294CE3" w:rsidRDefault="00D05801">
      <w:pPr>
        <w:pStyle w:val="Heading2"/>
      </w:pPr>
      <w:r>
        <w:lastRenderedPageBreak/>
        <w:t>1.14 Notice: NY-129B</w:t>
      </w:r>
    </w:p>
    <w:p w14:paraId="6C86C038" w14:textId="77777777" w:rsidR="00294CE3" w:rsidRDefault="00D05801">
      <w:r>
        <w:rPr>
          <w:noProof/>
        </w:rPr>
        <w:drawing>
          <wp:inline distT="0" distB="0" distL="0" distR="0" wp14:anchorId="0FEC5111" wp14:editId="22BE6FFB">
            <wp:extent cx="3705225" cy="2781300"/>
            <wp:effectExtent l="0" t="0" r="0" b="0"/>
            <wp:docPr id="14" name="Slide image" descr="A notice poster with legal scales icon explaining NY-129B law requiring conduct process to run concurrently with criminal judicial process, allowing temporary delays up to 10 days. The text is centered with a title &quot;Notice: NY-129B&quot;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notice poster with legal scales icon explaining NY-129B law requiring conduct process to run concurrently with criminal judicial process, allowing temporary delays up to 10 days. The text is centered with a title &quot;Notice: NY-129B&quot; above it"/>
                    <pic:cNvPicPr/>
                  </pic:nvPicPr>
                  <pic:blipFill>
                    <a:blip r:embed="rId20" cstate="print"/>
                    <a:stretch>
                      <a:fillRect/>
                    </a:stretch>
                  </pic:blipFill>
                  <pic:spPr>
                    <a:xfrm>
                      <a:off x="0" y="0"/>
                      <a:ext cx="3705225" cy="2781300"/>
                    </a:xfrm>
                    <a:prstGeom prst="rect">
                      <a:avLst/>
                    </a:prstGeom>
                  </pic:spPr>
                </pic:pic>
              </a:graphicData>
            </a:graphic>
          </wp:inline>
        </w:drawing>
      </w:r>
    </w:p>
    <w:p w14:paraId="088928BF" w14:textId="77777777" w:rsidR="00294CE3" w:rsidRDefault="00D05801">
      <w:r>
        <w:rPr>
          <w:b/>
        </w:rPr>
        <w:t>Notes:</w:t>
      </w:r>
    </w:p>
    <w:p w14:paraId="33FAE5DD"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NOTICE: NY-129B requires that the conduct process run concurrently with a criminal judicial process, except for temporary delays up to 10 days. </w:t>
      </w:r>
    </w:p>
    <w:p w14:paraId="3B5114BF" w14:textId="77777777" w:rsidR="00294CE3" w:rsidRDefault="00294CE3"/>
    <w:p w14:paraId="3095A57A" w14:textId="77777777" w:rsidR="00294CE3" w:rsidRDefault="00D05801">
      <w:pPr>
        <w:pStyle w:val="Heading2"/>
      </w:pPr>
      <w:r>
        <w:t>1.15 Reasonably Prompt</w:t>
      </w:r>
    </w:p>
    <w:p w14:paraId="77F9F4BC" w14:textId="77777777" w:rsidR="00294CE3" w:rsidRDefault="00D05801">
      <w:r>
        <w:rPr>
          <w:noProof/>
        </w:rPr>
        <w:drawing>
          <wp:inline distT="0" distB="0" distL="0" distR="0" wp14:anchorId="77EEC42D" wp14:editId="656AA3BC">
            <wp:extent cx="3705225" cy="2781300"/>
            <wp:effectExtent l="0" t="0" r="0" b="0"/>
            <wp:docPr id="15" name="Slide image" descr="Slide titled &quot;Reasonably Prompt&quot; contains three text boxes discussing timely handling of harassment cases and recommended respons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Slide titled &quot;Reasonably Prompt&quot; contains three text boxes discussing timely handling of harassment cases and recommended response times"/>
                    <pic:cNvPicPr/>
                  </pic:nvPicPr>
                  <pic:blipFill>
                    <a:blip r:embed="rId21" cstate="print"/>
                    <a:stretch>
                      <a:fillRect/>
                    </a:stretch>
                  </pic:blipFill>
                  <pic:spPr>
                    <a:xfrm>
                      <a:off x="0" y="0"/>
                      <a:ext cx="3705225" cy="2781300"/>
                    </a:xfrm>
                    <a:prstGeom prst="rect">
                      <a:avLst/>
                    </a:prstGeom>
                  </pic:spPr>
                </pic:pic>
              </a:graphicData>
            </a:graphic>
          </wp:inline>
        </w:drawing>
      </w:r>
    </w:p>
    <w:p w14:paraId="4B2ED213" w14:textId="77777777" w:rsidR="00294CE3" w:rsidRDefault="00D05801">
      <w:r>
        <w:rPr>
          <w:b/>
        </w:rPr>
        <w:t>Notes:</w:t>
      </w:r>
    </w:p>
    <w:p w14:paraId="32A1B1F3"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So what does “reasonably prompt” mean? Ultimately, the Department of Education took the position that a flexible timeframe accounts for schools’ unique attributes (for example, their size, population, location, or mission), recognizes that complex </w:t>
      </w:r>
      <w:r>
        <w:rPr>
          <w:rFonts w:ascii="Open Sans" w:hAnsi="Open Sans" w:cs="Open Sans"/>
          <w:color w:val="000000"/>
          <w:kern w:val="0"/>
          <w:sz w:val="16"/>
          <w:szCs w:val="16"/>
        </w:rPr>
        <w:lastRenderedPageBreak/>
        <w:t xml:space="preserve">matters may not lend themselves to set deadlines, and acknowledges that delays may sometimes be necessary, especially with a concurrent criminal investigation.  </w:t>
      </w:r>
      <w:r>
        <w:rPr>
          <w:rFonts w:ascii="Open Sans" w:hAnsi="Open Sans" w:cs="Open Sans"/>
          <w:color w:val="000000"/>
          <w:kern w:val="0"/>
          <w:sz w:val="16"/>
          <w:szCs w:val="16"/>
        </w:rPr>
        <w:br/>
        <w:t xml:space="preserve">The call for reasonably prompt timeframes balances the priority of getting the matter resolved in a swift manner so that the parties can move forward and the institution can remedy and prevent any potential harassment while also recognizing the challenges of processing sometimes complex cases in a manner that is fair, equitable, and just. </w:t>
      </w:r>
      <w:r>
        <w:rPr>
          <w:rFonts w:ascii="Open Sans" w:hAnsi="Open Sans" w:cs="Open Sans"/>
          <w:color w:val="000000"/>
          <w:kern w:val="0"/>
          <w:sz w:val="16"/>
          <w:szCs w:val="16"/>
        </w:rPr>
        <w:br/>
        <w:t>To put s</w:t>
      </w:r>
      <w:r>
        <w:rPr>
          <w:rFonts w:ascii="Open Sans" w:hAnsi="Open Sans" w:cs="Open Sans"/>
          <w:color w:val="000000"/>
          <w:kern w:val="0"/>
          <w:sz w:val="16"/>
          <w:szCs w:val="16"/>
        </w:rPr>
        <w:t xml:space="preserve">uccinctly, campus procedures generally call for a 45-90 day timeframe which would be considered reasonable in most cases. </w:t>
      </w:r>
    </w:p>
    <w:p w14:paraId="0034788B" w14:textId="77777777" w:rsidR="00294CE3" w:rsidRDefault="00294CE3"/>
    <w:p w14:paraId="780127FC" w14:textId="77777777" w:rsidR="00294CE3" w:rsidRDefault="00D05801">
      <w:pPr>
        <w:pStyle w:val="Heading2"/>
      </w:pPr>
      <w:r>
        <w:t>1.16 Complainant Intake</w:t>
      </w:r>
    </w:p>
    <w:p w14:paraId="5F67F74A" w14:textId="77777777" w:rsidR="00294CE3" w:rsidRDefault="00D05801">
      <w:r>
        <w:rPr>
          <w:noProof/>
        </w:rPr>
        <w:drawing>
          <wp:inline distT="0" distB="0" distL="0" distR="0" wp14:anchorId="1DE8EBBC" wp14:editId="6E8CB480">
            <wp:extent cx="3705225" cy="2781300"/>
            <wp:effectExtent l="0" t="0" r="0" b="0"/>
            <wp:docPr id="16" name="Slide image" descr="Slide titled &quot;Complainant Intake,&quot; with three text boxes explaining what institutions must have. These boxes include personnel trained to perform an intake and understand its legal obligations, information on trained individuals made publicly available, and transparency on their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Slide titled &quot;Complainant Intake,&quot; with three text boxes explaining what institutions must have. These boxes include personnel trained to perform an intake and understand its legal obligations, information on trained individuals made publicly available, and transparency on their responsibilities.  "/>
                    <pic:cNvPicPr/>
                  </pic:nvPicPr>
                  <pic:blipFill>
                    <a:blip r:embed="rId22" cstate="print"/>
                    <a:stretch>
                      <a:fillRect/>
                    </a:stretch>
                  </pic:blipFill>
                  <pic:spPr>
                    <a:xfrm>
                      <a:off x="0" y="0"/>
                      <a:ext cx="3705225" cy="2781300"/>
                    </a:xfrm>
                    <a:prstGeom prst="rect">
                      <a:avLst/>
                    </a:prstGeom>
                  </pic:spPr>
                </pic:pic>
              </a:graphicData>
            </a:graphic>
          </wp:inline>
        </w:drawing>
      </w:r>
    </w:p>
    <w:p w14:paraId="3286CD24" w14:textId="77777777" w:rsidR="00294CE3" w:rsidRDefault="00D05801">
      <w:r>
        <w:rPr>
          <w:b/>
        </w:rPr>
        <w:t>Notes:</w:t>
      </w:r>
    </w:p>
    <w:p w14:paraId="4738062D"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The institution must have personnel who are trained to perform an intake, informed of how it should be completed and what their legal obligations may be. The institution should share the names, locations, job titles, and other important information for these intake resources publicly so that everyone knows who these individuals are. Transparency goes a long way to ensuring that complainants can trust this process. Similarly, consider publicizing who the responsible and confidential employees are on your cam</w:t>
      </w:r>
      <w:r>
        <w:rPr>
          <w:rFonts w:ascii="Open Sans" w:hAnsi="Open Sans" w:cs="Open Sans"/>
          <w:color w:val="000000"/>
          <w:kern w:val="0"/>
          <w:sz w:val="16"/>
          <w:szCs w:val="16"/>
        </w:rPr>
        <w:t>pus. That way, if an individual decides to confide in an employee that is not confidential, that employee can be transparent about what their responsibilities are.</w:t>
      </w:r>
    </w:p>
    <w:p w14:paraId="4B51C596" w14:textId="77777777" w:rsidR="00294CE3" w:rsidRDefault="00294CE3"/>
    <w:p w14:paraId="1B15F226" w14:textId="77777777" w:rsidR="00294CE3" w:rsidRDefault="00D05801">
      <w:pPr>
        <w:pStyle w:val="Heading2"/>
      </w:pPr>
      <w:r>
        <w:lastRenderedPageBreak/>
        <w:t>1.17 Intake Script</w:t>
      </w:r>
    </w:p>
    <w:p w14:paraId="33F74970" w14:textId="77777777" w:rsidR="00294CE3" w:rsidRDefault="00D05801">
      <w:r>
        <w:rPr>
          <w:noProof/>
        </w:rPr>
        <w:drawing>
          <wp:inline distT="0" distB="0" distL="0" distR="0" wp14:anchorId="0BA848AB" wp14:editId="53270AAA">
            <wp:extent cx="3705225" cy="2781300"/>
            <wp:effectExtent l="0" t="0" r="0" b="0"/>
            <wp:docPr id="17" name="Slide image" descr="Slide titled &quot;Intake Script,&quot; with an sample script. The sample script reads &quot;Thank you for coming in. I understand that you would like to discuss a personal matter with me related to an incident that occurred. Before you begin, I need to inform you that I am not a confidential employee, and that I may be obligated to report any information shared with me about sexual harassment to our Title IX Coordinator. I will otherwise maintain the privacy of your repor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titled &quot;Intake Script,&quot; with an sample script. The sample script reads &quot;Thank you for coming in. I understand that you would like to discuss a personal matter with me related to an incident that occurred. Before you begin, I need to inform you that I am not a confidential employee, and that I may be obligated to report any information shared with me about sexual harassment to our Title IX Coordinator. I will otherwise maintain the privacy of your report.&quot; "/>
                    <pic:cNvPicPr/>
                  </pic:nvPicPr>
                  <pic:blipFill>
                    <a:blip r:embed="rId23" cstate="print"/>
                    <a:stretch>
                      <a:fillRect/>
                    </a:stretch>
                  </pic:blipFill>
                  <pic:spPr>
                    <a:xfrm>
                      <a:off x="0" y="0"/>
                      <a:ext cx="3705225" cy="2781300"/>
                    </a:xfrm>
                    <a:prstGeom prst="rect">
                      <a:avLst/>
                    </a:prstGeom>
                  </pic:spPr>
                </pic:pic>
              </a:graphicData>
            </a:graphic>
          </wp:inline>
        </w:drawing>
      </w:r>
    </w:p>
    <w:p w14:paraId="30C918EB" w14:textId="77777777" w:rsidR="00294CE3" w:rsidRDefault="00D05801">
      <w:r>
        <w:rPr>
          <w:b/>
        </w:rPr>
        <w:t>Notes:</w:t>
      </w:r>
    </w:p>
    <w:p w14:paraId="3350D7F6"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Having some pre-scripted language can be helpful for training purposes. Something like: </w:t>
      </w:r>
      <w:r>
        <w:rPr>
          <w:rFonts w:ascii="Open Sans" w:hAnsi="Open Sans" w:cs="Open Sans"/>
          <w:color w:val="000000"/>
          <w:kern w:val="0"/>
          <w:sz w:val="16"/>
          <w:szCs w:val="16"/>
        </w:rPr>
        <w:br/>
        <w:t xml:space="preserve">“Thank you for coming in. I understand that you would like to discuss a personal matter with me related to an incident that occurred. Before you begin, I need to inform you that I am NOT a confidential employee, and that I may be obligated to report any information shared with me about sexual harassment to our Title IX Coordinator. I will otherwise maintain the privacy of your report.” </w:t>
      </w:r>
      <w:r>
        <w:rPr>
          <w:rFonts w:ascii="Open Sans" w:hAnsi="Open Sans" w:cs="Open Sans"/>
          <w:color w:val="000000"/>
          <w:kern w:val="0"/>
          <w:sz w:val="16"/>
          <w:szCs w:val="16"/>
        </w:rPr>
        <w:br/>
        <w:t xml:space="preserve">Take a moment to speak this phrase aloud to yourself before continuing.  </w:t>
      </w:r>
    </w:p>
    <w:p w14:paraId="3F79BA3B" w14:textId="77777777" w:rsidR="00294CE3" w:rsidRDefault="00294CE3"/>
    <w:p w14:paraId="3BEA3650" w14:textId="77777777" w:rsidR="00294CE3" w:rsidRDefault="00D05801">
      <w:pPr>
        <w:pStyle w:val="Heading2"/>
      </w:pPr>
      <w:r>
        <w:t>1.18 Private Space</w:t>
      </w:r>
    </w:p>
    <w:p w14:paraId="23325C7A" w14:textId="77777777" w:rsidR="00294CE3" w:rsidRDefault="00D05801">
      <w:r>
        <w:rPr>
          <w:noProof/>
        </w:rPr>
        <w:drawing>
          <wp:inline distT="0" distB="0" distL="0" distR="0" wp14:anchorId="51F87288" wp14:editId="73B91833">
            <wp:extent cx="3705225" cy="2781300"/>
            <wp:effectExtent l="0" t="0" r="0" b="0"/>
            <wp:docPr id="18" name="Slide image" descr="Slide titled &quot;Private Space,&quot; with a text box explaining that &quot;An intake will be conducted in a private space that is comfortable and conducive to sharing personal infor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Slide titled &quot;Private Space,&quot; with a text box explaining that &quot;An intake will be conducted in a private space that is comfortable and conducive to sharing personal information.&quot;"/>
                    <pic:cNvPicPr/>
                  </pic:nvPicPr>
                  <pic:blipFill>
                    <a:blip r:embed="rId24" cstate="print"/>
                    <a:stretch>
                      <a:fillRect/>
                    </a:stretch>
                  </pic:blipFill>
                  <pic:spPr>
                    <a:xfrm>
                      <a:off x="0" y="0"/>
                      <a:ext cx="3705225" cy="2781300"/>
                    </a:xfrm>
                    <a:prstGeom prst="rect">
                      <a:avLst/>
                    </a:prstGeom>
                  </pic:spPr>
                </pic:pic>
              </a:graphicData>
            </a:graphic>
          </wp:inline>
        </w:drawing>
      </w:r>
    </w:p>
    <w:p w14:paraId="5E127DC0" w14:textId="77777777" w:rsidR="00294CE3" w:rsidRDefault="00D05801">
      <w:r>
        <w:rPr>
          <w:b/>
        </w:rPr>
        <w:lastRenderedPageBreak/>
        <w:t>Notes:</w:t>
      </w:r>
    </w:p>
    <w:p w14:paraId="6AB49F6F"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An intake will be conducted in a private space that is comfortable and conducive to sharing personal information. That means that the space should be well-lit, with comfortable seating, and free from distractions as best as can be possible. </w:t>
      </w:r>
    </w:p>
    <w:p w14:paraId="2E555066" w14:textId="77777777" w:rsidR="00294CE3" w:rsidRDefault="00294CE3"/>
    <w:p w14:paraId="19FA2230" w14:textId="77777777" w:rsidR="00294CE3" w:rsidRDefault="00D05801">
      <w:pPr>
        <w:pStyle w:val="Heading2"/>
      </w:pPr>
      <w:r>
        <w:t>1.19 Accessible Resources</w:t>
      </w:r>
    </w:p>
    <w:p w14:paraId="2BFE49B4" w14:textId="77777777" w:rsidR="00294CE3" w:rsidRDefault="00D05801">
      <w:r>
        <w:rPr>
          <w:noProof/>
        </w:rPr>
        <w:drawing>
          <wp:inline distT="0" distB="0" distL="0" distR="0" wp14:anchorId="434E9DE7" wp14:editId="294398B0">
            <wp:extent cx="3022600" cy="2781300"/>
            <wp:effectExtent l="0" t="0" r="6350" b="0"/>
            <wp:docPr id="19"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022600" cy="2781300"/>
                    </a:xfrm>
                    <a:prstGeom prst="rect">
                      <a:avLst/>
                    </a:prstGeom>
                  </pic:spPr>
                </pic:pic>
              </a:graphicData>
            </a:graphic>
          </wp:inline>
        </w:drawing>
      </w:r>
    </w:p>
    <w:p w14:paraId="555E560E" w14:textId="77777777" w:rsidR="00294CE3" w:rsidRDefault="00D05801">
      <w:r>
        <w:rPr>
          <w:b/>
        </w:rPr>
        <w:t>Notes:</w:t>
      </w:r>
    </w:p>
    <w:p w14:paraId="3481AE2B"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Having resources available and accessible at this time is also encouraged. Things like an intake form the intake officer can consult and utilize in order to perform an intake responsibly and correctly. In the SCI’s Title IX Toolkit, there is a model intake form that members may use to guide the process, ensure compliance, and house all relevant information for effective recordkeeping. </w:t>
      </w:r>
    </w:p>
    <w:p w14:paraId="6E036ECD" w14:textId="77777777" w:rsidR="00294CE3" w:rsidRDefault="00294CE3"/>
    <w:p w14:paraId="14BE9DBF" w14:textId="77777777" w:rsidR="00294CE3" w:rsidRDefault="00D05801">
      <w:pPr>
        <w:pStyle w:val="Heading2"/>
      </w:pPr>
      <w:r>
        <w:lastRenderedPageBreak/>
        <w:t>1.20 Intake Form Sections</w:t>
      </w:r>
    </w:p>
    <w:p w14:paraId="6FB651D2" w14:textId="77777777" w:rsidR="00294CE3" w:rsidRDefault="00D05801">
      <w:r>
        <w:rPr>
          <w:noProof/>
        </w:rPr>
        <w:drawing>
          <wp:inline distT="0" distB="0" distL="0" distR="0" wp14:anchorId="3A0C803C" wp14:editId="2D5E63D9">
            <wp:extent cx="3705225" cy="2781300"/>
            <wp:effectExtent l="0" t="0" r="0" b="0"/>
            <wp:docPr id="20" name="Slide image" descr="Slide titled &quot;Intake Form Sections,&quot; with two text boxes underneath. Left text box labeled &quot;General Incident Information,&quot; with two bullets beneath it. One bullet says that &quot;details, nature of harassment allegations, and narrative of evens (dates, times, locations).&quot; The right text box is labeled &quot;Critical Incident Response,&quot; with one bullet beneath it that says &quot;supportive measure or response options for the complain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descr="Slide titled &quot;Intake Form Sections,&quot; with two text boxes underneath. Left text box labeled &quot;General Incident Information,&quot; with two bullets beneath it. One bullet says that &quot;details, nature of harassment allegations, and narrative of evens (dates, times, locations).&quot; The right text box is labeled &quot;Critical Incident Response,&quot; with one bullet beneath it that says &quot;supportive measure or response options for the complainant.&quot;"/>
                    <pic:cNvPicPr/>
                  </pic:nvPicPr>
                  <pic:blipFill>
                    <a:blip r:embed="rId26" cstate="print"/>
                    <a:stretch>
                      <a:fillRect/>
                    </a:stretch>
                  </pic:blipFill>
                  <pic:spPr>
                    <a:xfrm>
                      <a:off x="0" y="0"/>
                      <a:ext cx="3705225" cy="2781300"/>
                    </a:xfrm>
                    <a:prstGeom prst="rect">
                      <a:avLst/>
                    </a:prstGeom>
                  </pic:spPr>
                </pic:pic>
              </a:graphicData>
            </a:graphic>
          </wp:inline>
        </w:drawing>
      </w:r>
    </w:p>
    <w:p w14:paraId="406DD049" w14:textId="77777777" w:rsidR="00294CE3" w:rsidRDefault="00D05801">
      <w:r>
        <w:rPr>
          <w:b/>
        </w:rPr>
        <w:t>Notes:</w:t>
      </w:r>
    </w:p>
    <w:p w14:paraId="5C544723" w14:textId="77777777" w:rsidR="00D05801" w:rsidRDefault="00D05801" w:rsidP="005633D2">
      <w:pPr>
        <w:widowControl w:val="0"/>
        <w:numPr>
          <w:ilvl w:val="0"/>
          <w:numId w:val="1"/>
        </w:numPr>
        <w:autoSpaceDE w:val="0"/>
        <w:autoSpaceDN w:val="0"/>
        <w:adjustRightInd w:val="0"/>
        <w:spacing w:after="0" w:line="240" w:lineRule="auto"/>
        <w:ind w:left="50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Some key sections in the intake form include: </w:t>
      </w:r>
      <w:r>
        <w:rPr>
          <w:rFonts w:ascii="Open Sans" w:hAnsi="Open Sans" w:cs="Open Sans"/>
          <w:color w:val="000000"/>
          <w:kern w:val="0"/>
          <w:sz w:val="16"/>
          <w:szCs w:val="16"/>
        </w:rPr>
        <w:br/>
        <w:t xml:space="preserve">General incident information </w:t>
      </w:r>
      <w:r>
        <w:rPr>
          <w:rFonts w:ascii="Open Sans" w:hAnsi="Open Sans" w:cs="Open Sans"/>
          <w:color w:val="000000"/>
          <w:kern w:val="0"/>
          <w:sz w:val="16"/>
          <w:szCs w:val="16"/>
        </w:rPr>
        <w:br/>
        <w:t>This section will include the details about incident, the nature</w:t>
      </w:r>
      <w:r>
        <w:rPr>
          <w:rFonts w:ascii="Open Sans" w:hAnsi="Open Sans" w:cs="Open Sans"/>
          <w:color w:val="000000"/>
          <w:kern w:val="0"/>
          <w:sz w:val="16"/>
          <w:szCs w:val="16"/>
        </w:rPr>
        <w:t xml:space="preserve"> of the allegations of harassment, and a succinct narrative of events </w:t>
      </w:r>
      <w:r>
        <w:rPr>
          <w:rFonts w:ascii="Open Sans" w:hAnsi="Open Sans" w:cs="Open Sans"/>
          <w:color w:val="000000"/>
          <w:kern w:val="0"/>
          <w:sz w:val="16"/>
          <w:szCs w:val="16"/>
        </w:rPr>
        <w:br/>
        <w:t xml:space="preserve">Dates, times, locations, etc., would all be included in this section. </w:t>
      </w:r>
      <w:r>
        <w:rPr>
          <w:rFonts w:ascii="Open Sans" w:hAnsi="Open Sans" w:cs="Open Sans"/>
          <w:color w:val="000000"/>
          <w:kern w:val="0"/>
          <w:sz w:val="16"/>
          <w:szCs w:val="16"/>
        </w:rPr>
        <w:br/>
        <w:t xml:space="preserve">Critical Incident Response </w:t>
      </w:r>
      <w:r>
        <w:rPr>
          <w:rFonts w:ascii="Open Sans" w:hAnsi="Open Sans" w:cs="Open Sans"/>
          <w:color w:val="000000"/>
          <w:kern w:val="0"/>
          <w:sz w:val="16"/>
          <w:szCs w:val="16"/>
        </w:rPr>
        <w:br/>
        <w:t xml:space="preserve">The intake officer would go over any possible supportive measures or response options for the complainant. This could be facilitating medical assistance or connecting the complainant with counseling.  </w:t>
      </w:r>
      <w:r>
        <w:rPr>
          <w:rFonts w:ascii="Open Sans" w:hAnsi="Open Sans" w:cs="Open Sans"/>
          <w:color w:val="000000"/>
          <w:kern w:val="0"/>
          <w:sz w:val="16"/>
          <w:szCs w:val="16"/>
        </w:rPr>
        <w:br/>
        <w:t xml:space="preserve">Review of student’s rights </w:t>
      </w:r>
      <w:r>
        <w:rPr>
          <w:rFonts w:ascii="Open Sans" w:hAnsi="Open Sans" w:cs="Open Sans"/>
          <w:color w:val="000000"/>
          <w:kern w:val="0"/>
          <w:sz w:val="16"/>
          <w:szCs w:val="16"/>
        </w:rPr>
        <w:br/>
        <w:t>Here would be any information related to a student’s reporting options like local law enforcement, institutional</w:t>
      </w:r>
      <w:r>
        <w:rPr>
          <w:rFonts w:ascii="Open Sans" w:hAnsi="Open Sans" w:cs="Open Sans"/>
          <w:color w:val="000000"/>
          <w:kern w:val="0"/>
          <w:sz w:val="16"/>
          <w:szCs w:val="16"/>
        </w:rPr>
        <w:t xml:space="preserve"> disciplinary process, the level of involvement the complainant wishes to have, summaries of meetings with the TIX Coordinator, resource allocation, etc. </w:t>
      </w:r>
    </w:p>
    <w:p w14:paraId="2839FC22" w14:textId="77777777" w:rsidR="00294CE3" w:rsidRDefault="00294CE3"/>
    <w:p w14:paraId="538A65D7" w14:textId="77777777" w:rsidR="00294CE3" w:rsidRDefault="00D05801">
      <w:pPr>
        <w:pStyle w:val="Heading2"/>
      </w:pPr>
      <w:r>
        <w:lastRenderedPageBreak/>
        <w:t>1.21 Student Rights per NY-129B</w:t>
      </w:r>
    </w:p>
    <w:p w14:paraId="7F71B980" w14:textId="77777777" w:rsidR="00294CE3" w:rsidRDefault="00D05801">
      <w:r>
        <w:rPr>
          <w:noProof/>
        </w:rPr>
        <w:drawing>
          <wp:inline distT="0" distB="0" distL="0" distR="0" wp14:anchorId="0CA0450F" wp14:editId="1F09370C">
            <wp:extent cx="3705225" cy="2781300"/>
            <wp:effectExtent l="0" t="0" r="0" b="0"/>
            <wp:docPr id="21" name="Slide image" descr="Text slide outlining student rights under NY-129B law, focusing on protections related to reporting crimes and institutional pressure. Key points include rights to share information with law enforcement, make disclosure decisions freely, participate in judicial processes without pressure, and ensure serious treatment of disclosures involving violence or ass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 image" descr="Text slide outlining student rights under NY-129B law, focusing on protections related to reporting crimes and institutional pressure. Key points include rights to share information with law enforcement, make disclosure decisions freely, participate in judicial processes without pressure, and ensure serious treatment of disclosures involving violence or assault"/>
                    <pic:cNvPicPr/>
                  </pic:nvPicPr>
                  <pic:blipFill>
                    <a:blip r:embed="rId27" cstate="print"/>
                    <a:stretch>
                      <a:fillRect/>
                    </a:stretch>
                  </pic:blipFill>
                  <pic:spPr>
                    <a:xfrm>
                      <a:off x="0" y="0"/>
                      <a:ext cx="3705225" cy="2781300"/>
                    </a:xfrm>
                    <a:prstGeom prst="rect">
                      <a:avLst/>
                    </a:prstGeom>
                  </pic:spPr>
                </pic:pic>
              </a:graphicData>
            </a:graphic>
          </wp:inline>
        </w:drawing>
      </w:r>
    </w:p>
    <w:p w14:paraId="48E65FE1" w14:textId="77777777" w:rsidR="00294CE3" w:rsidRDefault="00D05801">
      <w:r>
        <w:rPr>
          <w:b/>
        </w:rPr>
        <w:t>Notes:</w:t>
      </w:r>
    </w:p>
    <w:p w14:paraId="34FE38D5"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Review of student’s rights (including those required by New York institutions per NY 129B):</w:t>
      </w:r>
      <w:r>
        <w:rPr>
          <w:rFonts w:ascii="Open Sans" w:hAnsi="Open Sans" w:cs="Open Sans"/>
          <w:color w:val="000000"/>
          <w:kern w:val="0"/>
          <w:sz w:val="16"/>
          <w:szCs w:val="16"/>
        </w:rPr>
        <w:br/>
        <w:t>Sharing information related to a student’</w:t>
      </w:r>
      <w:r>
        <w:rPr>
          <w:rFonts w:ascii="Open Sans" w:hAnsi="Open Sans" w:cs="Open Sans"/>
          <w:color w:val="000000"/>
          <w:kern w:val="0"/>
          <w:sz w:val="16"/>
          <w:szCs w:val="16"/>
        </w:rPr>
        <w:t xml:space="preserve">s reporting options like local law enforcement and/or state police,  </w:t>
      </w:r>
      <w:r>
        <w:rPr>
          <w:rFonts w:ascii="Open Sans" w:hAnsi="Open Sans" w:cs="Open Sans"/>
          <w:color w:val="000000"/>
          <w:kern w:val="0"/>
          <w:sz w:val="16"/>
          <w:szCs w:val="16"/>
        </w:rPr>
        <w:br/>
        <w:t xml:space="preserve">The right to make a decision to disclose a crime or violation free from institutional pressure </w:t>
      </w:r>
      <w:r>
        <w:rPr>
          <w:rFonts w:ascii="Open Sans" w:hAnsi="Open Sans" w:cs="Open Sans"/>
          <w:color w:val="000000"/>
          <w:kern w:val="0"/>
          <w:sz w:val="16"/>
          <w:szCs w:val="16"/>
        </w:rPr>
        <w:br/>
        <w:t xml:space="preserve">The right to participate in a judicial or conduct process and/or criminal justice process free from institutional pressure </w:t>
      </w:r>
      <w:r>
        <w:rPr>
          <w:rFonts w:ascii="Open Sans" w:hAnsi="Open Sans" w:cs="Open Sans"/>
          <w:color w:val="000000"/>
          <w:kern w:val="0"/>
          <w:sz w:val="16"/>
          <w:szCs w:val="16"/>
        </w:rPr>
        <w:br/>
        <w:t xml:space="preserve">Ensure disclosures of domestic violence, dating violence, stalking and sexual assault treated seriously </w:t>
      </w:r>
    </w:p>
    <w:p w14:paraId="17D71E6B" w14:textId="77777777" w:rsidR="00294CE3" w:rsidRDefault="00294CE3"/>
    <w:p w14:paraId="32B6BCF3" w14:textId="77777777" w:rsidR="00294CE3" w:rsidRDefault="00D05801">
      <w:pPr>
        <w:pStyle w:val="Heading2"/>
      </w:pPr>
      <w:r>
        <w:t>1.22 Student Rights per NY-129B</w:t>
      </w:r>
    </w:p>
    <w:p w14:paraId="277B7418" w14:textId="77777777" w:rsidR="00294CE3" w:rsidRDefault="00D05801">
      <w:r>
        <w:rPr>
          <w:noProof/>
        </w:rPr>
        <w:drawing>
          <wp:inline distT="0" distB="0" distL="0" distR="0" wp14:anchorId="7B85F9F5" wp14:editId="3D0EA6CC">
            <wp:extent cx="3705225" cy="2781300"/>
            <wp:effectExtent l="0" t="0" r="0" b="0"/>
            <wp:docPr id="22" name="Slide image" descr="Text slide outlines student rights under NY-129B, focusing on fair process, respectful health care, and protection from victim-blaming. Key points include participation in impartial proceedings, access to counseling services, and assurance against fault attribution in reported c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 image" descr="Text slide outlines student rights under NY-129B, focusing on fair process, respectful health care, and protection from victim-blaming. Key points include participation in impartial proceedings, access to counseling services, and assurance against fault attribution in reported crimes"/>
                    <pic:cNvPicPr/>
                  </pic:nvPicPr>
                  <pic:blipFill>
                    <a:blip r:embed="rId28" cstate="print"/>
                    <a:stretch>
                      <a:fillRect/>
                    </a:stretch>
                  </pic:blipFill>
                  <pic:spPr>
                    <a:xfrm>
                      <a:off x="0" y="0"/>
                      <a:ext cx="3705225" cy="2781300"/>
                    </a:xfrm>
                    <a:prstGeom prst="rect">
                      <a:avLst/>
                    </a:prstGeom>
                  </pic:spPr>
                </pic:pic>
              </a:graphicData>
            </a:graphic>
          </wp:inline>
        </w:drawing>
      </w:r>
    </w:p>
    <w:p w14:paraId="462190F0" w14:textId="77777777" w:rsidR="00294CE3" w:rsidRDefault="00D05801">
      <w:r>
        <w:rPr>
          <w:b/>
        </w:rPr>
        <w:t>Notes:</w:t>
      </w:r>
    </w:p>
    <w:p w14:paraId="7594A9C4"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 xml:space="preserve">Participate in a fair and impartial process, with adequate notice and a meaningful opportunity to be heard </w:t>
      </w:r>
      <w:r>
        <w:rPr>
          <w:rFonts w:ascii="Open Sans" w:hAnsi="Open Sans" w:cs="Open Sans"/>
          <w:color w:val="000000"/>
          <w:kern w:val="0"/>
          <w:sz w:val="16"/>
          <w:szCs w:val="16"/>
        </w:rPr>
        <w:br/>
        <w:t>Be treated with dignity and to receive</w:t>
      </w:r>
      <w:r>
        <w:rPr>
          <w:rFonts w:ascii="Open Sans" w:hAnsi="Open Sans" w:cs="Open Sans"/>
          <w:color w:val="000000"/>
          <w:kern w:val="0"/>
          <w:sz w:val="16"/>
          <w:szCs w:val="16"/>
        </w:rPr>
        <w:t xml:space="preserve"> courteous, fair, and respectful health care and counseling services, where available </w:t>
      </w:r>
      <w:r>
        <w:rPr>
          <w:rFonts w:ascii="Open Sans" w:hAnsi="Open Sans" w:cs="Open Sans"/>
          <w:color w:val="000000"/>
          <w:kern w:val="0"/>
          <w:sz w:val="16"/>
          <w:szCs w:val="16"/>
        </w:rPr>
        <w:br/>
        <w:t xml:space="preserve">Be free from the suggestion that the reporting individual is at fault when these crimes and violations are committed </w:t>
      </w:r>
    </w:p>
    <w:p w14:paraId="6341C168" w14:textId="77777777" w:rsidR="00294CE3" w:rsidRDefault="00294CE3"/>
    <w:p w14:paraId="6CA5A0B3" w14:textId="77777777" w:rsidR="00294CE3" w:rsidRDefault="00D05801">
      <w:pPr>
        <w:pStyle w:val="Heading2"/>
      </w:pPr>
      <w:r>
        <w:t>1.23 Student Rights per NY-129B</w:t>
      </w:r>
    </w:p>
    <w:p w14:paraId="2912DEC7" w14:textId="77777777" w:rsidR="00294CE3" w:rsidRDefault="00D05801">
      <w:r>
        <w:rPr>
          <w:noProof/>
        </w:rPr>
        <w:drawing>
          <wp:inline distT="0" distB="0" distL="0" distR="0" wp14:anchorId="5DD31DF8" wp14:editId="245823E0">
            <wp:extent cx="3705225" cy="2781300"/>
            <wp:effectExtent l="0" t="0" r="0" b="0"/>
            <wp:docPr id="23" name="Slide image" descr="Text slide listing student rights under NY-129B, focusing on incident reporting, protection from retaliation, and access to appeal. Key points include limiting repeated descriptions of incidents, safeguarding against retaliation by involved parties, and ensuring at least one appe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 image" descr="Text slide listing student rights under NY-129B, focusing on incident reporting, protection from retaliation, and access to appeal. Key points include limiting repeated descriptions of incidents, safeguarding against retaliation by involved parties, and ensuring at least one appeal level"/>
                    <pic:cNvPicPr/>
                  </pic:nvPicPr>
                  <pic:blipFill>
                    <a:blip r:embed="rId29" cstate="print"/>
                    <a:stretch>
                      <a:fillRect/>
                    </a:stretch>
                  </pic:blipFill>
                  <pic:spPr>
                    <a:xfrm>
                      <a:off x="0" y="0"/>
                      <a:ext cx="3705225" cy="2781300"/>
                    </a:xfrm>
                    <a:prstGeom prst="rect">
                      <a:avLst/>
                    </a:prstGeom>
                  </pic:spPr>
                </pic:pic>
              </a:graphicData>
            </a:graphic>
          </wp:inline>
        </w:drawing>
      </w:r>
    </w:p>
    <w:p w14:paraId="53F9338F" w14:textId="77777777" w:rsidR="00294CE3" w:rsidRDefault="00D05801">
      <w:r>
        <w:rPr>
          <w:b/>
        </w:rPr>
        <w:t>Notes:</w:t>
      </w:r>
    </w:p>
    <w:p w14:paraId="73D4CBE7"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Describe the incident to as few institution representatives as practicable and not be required to unnecessarily repeat a description of the incident </w:t>
      </w:r>
      <w:r>
        <w:rPr>
          <w:rFonts w:ascii="Open Sans" w:hAnsi="Open Sans" w:cs="Open Sans"/>
          <w:color w:val="000000"/>
          <w:kern w:val="0"/>
          <w:sz w:val="16"/>
          <w:szCs w:val="16"/>
        </w:rPr>
        <w:br/>
        <w:t xml:space="preserve">Be protected from retaliation by the institution, any student, the accused and/or the respondent, and/or their friends, family, and acquaintances within the jurisdiction of the institution </w:t>
      </w:r>
      <w:r>
        <w:rPr>
          <w:rFonts w:ascii="Open Sans" w:hAnsi="Open Sans" w:cs="Open Sans"/>
          <w:color w:val="000000"/>
          <w:kern w:val="0"/>
          <w:sz w:val="16"/>
          <w:szCs w:val="16"/>
        </w:rPr>
        <w:br/>
        <w:t xml:space="preserve">Have access to at least one level of appeal </w:t>
      </w:r>
    </w:p>
    <w:p w14:paraId="459F54A7" w14:textId="77777777" w:rsidR="00294CE3" w:rsidRDefault="00294CE3"/>
    <w:p w14:paraId="0C7F6EB3" w14:textId="77777777" w:rsidR="00294CE3" w:rsidRDefault="00D05801">
      <w:pPr>
        <w:pStyle w:val="Heading2"/>
      </w:pPr>
      <w:r>
        <w:lastRenderedPageBreak/>
        <w:t>1.24 Student Rights per NY-129B</w:t>
      </w:r>
    </w:p>
    <w:p w14:paraId="0FC68F50" w14:textId="77777777" w:rsidR="00294CE3" w:rsidRDefault="00D05801">
      <w:r>
        <w:rPr>
          <w:noProof/>
        </w:rPr>
        <w:drawing>
          <wp:inline distT="0" distB="0" distL="0" distR="0" wp14:anchorId="07319794" wp14:editId="47EC2ED3">
            <wp:extent cx="3705225" cy="2781300"/>
            <wp:effectExtent l="0" t="0" r="0" b="0"/>
            <wp:docPr id="24" name="Slide image" descr="Text list outlining student rights according to NY-129B, focusing on rights 11 through 15. Key points include accompaniment by an advisor, exercising civil and religious rights without interference, access to disciplinary processes, receiving Title IX meeting summaries, and access to supportive educa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 image" descr="Text list outlining student rights according to NY-129B, focusing on rights 11 through 15. Key points include accompaniment by an advisor, exercising civil and religious rights without interference, access to disciplinary processes, receiving Title IX meeting summaries, and access to supportive educational resources"/>
                    <pic:cNvPicPr/>
                  </pic:nvPicPr>
                  <pic:blipFill>
                    <a:blip r:embed="rId30" cstate="print"/>
                    <a:stretch>
                      <a:fillRect/>
                    </a:stretch>
                  </pic:blipFill>
                  <pic:spPr>
                    <a:xfrm>
                      <a:off x="0" y="0"/>
                      <a:ext cx="3705225" cy="2781300"/>
                    </a:xfrm>
                    <a:prstGeom prst="rect">
                      <a:avLst/>
                    </a:prstGeom>
                  </pic:spPr>
                </pic:pic>
              </a:graphicData>
            </a:graphic>
          </wp:inline>
        </w:drawing>
      </w:r>
    </w:p>
    <w:p w14:paraId="4F74B213" w14:textId="77777777" w:rsidR="00294CE3" w:rsidRDefault="00D05801">
      <w:r>
        <w:rPr>
          <w:b/>
        </w:rPr>
        <w:t>Notes:</w:t>
      </w:r>
    </w:p>
    <w:p w14:paraId="187D8DF3" w14:textId="77777777" w:rsidR="00D05801" w:rsidRDefault="00D05801" w:rsidP="005633D2">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Be accompanied by an advisor of choice </w:t>
      </w:r>
      <w:r>
        <w:rPr>
          <w:rFonts w:ascii="Open Sans" w:hAnsi="Open Sans" w:cs="Open Sans"/>
          <w:color w:val="000000"/>
          <w:kern w:val="0"/>
          <w:sz w:val="16"/>
          <w:szCs w:val="16"/>
        </w:rPr>
        <w:br/>
        <w:t xml:space="preserve">Exercise civil rights and practice of religion without interference by the institution </w:t>
      </w:r>
      <w:r>
        <w:rPr>
          <w:rFonts w:ascii="Open Sans" w:hAnsi="Open Sans" w:cs="Open Sans"/>
          <w:color w:val="000000"/>
          <w:kern w:val="0"/>
          <w:sz w:val="16"/>
          <w:szCs w:val="16"/>
        </w:rPr>
        <w:br/>
        <w:t xml:space="preserve">Access to an institutional disciplinary process </w:t>
      </w:r>
      <w:r>
        <w:rPr>
          <w:rFonts w:ascii="Open Sans" w:hAnsi="Open Sans" w:cs="Open Sans"/>
          <w:color w:val="000000"/>
          <w:kern w:val="0"/>
          <w:sz w:val="16"/>
          <w:szCs w:val="16"/>
        </w:rPr>
        <w:br/>
      </w:r>
      <w:r>
        <w:rPr>
          <w:rFonts w:ascii="Open Sans" w:hAnsi="Open Sans" w:cs="Open Sans"/>
          <w:color w:val="000000"/>
          <w:kern w:val="0"/>
          <w:sz w:val="16"/>
          <w:szCs w:val="16"/>
        </w:rPr>
        <w:t xml:space="preserve">Receive summaries of meetings with the TIX Coordinator,  </w:t>
      </w:r>
      <w:r>
        <w:rPr>
          <w:rFonts w:ascii="Open Sans" w:hAnsi="Open Sans" w:cs="Open Sans"/>
          <w:color w:val="000000"/>
          <w:kern w:val="0"/>
          <w:sz w:val="16"/>
          <w:szCs w:val="16"/>
        </w:rPr>
        <w:br/>
        <w:t xml:space="preserve">Access to various supportive resources </w:t>
      </w:r>
      <w:proofErr w:type="gramStart"/>
      <w:r>
        <w:rPr>
          <w:rFonts w:ascii="Open Sans" w:hAnsi="Open Sans" w:cs="Open Sans"/>
          <w:color w:val="000000"/>
          <w:kern w:val="0"/>
          <w:sz w:val="16"/>
          <w:szCs w:val="16"/>
        </w:rPr>
        <w:t>in order to</w:t>
      </w:r>
      <w:proofErr w:type="gramEnd"/>
      <w:r>
        <w:rPr>
          <w:rFonts w:ascii="Open Sans" w:hAnsi="Open Sans" w:cs="Open Sans"/>
          <w:color w:val="000000"/>
          <w:kern w:val="0"/>
          <w:sz w:val="16"/>
          <w:szCs w:val="16"/>
        </w:rPr>
        <w:t xml:space="preserve"> preserve access to the educational programs available at the institution, etc. </w:t>
      </w:r>
    </w:p>
    <w:p w14:paraId="23BB679D" w14:textId="77777777" w:rsidR="00294CE3" w:rsidRDefault="00294CE3"/>
    <w:p w14:paraId="6782BEAF" w14:textId="77777777" w:rsidR="00294CE3" w:rsidRDefault="00D05801">
      <w:pPr>
        <w:pStyle w:val="Heading2"/>
      </w:pPr>
      <w:r>
        <w:t>1.25 End of Intake</w:t>
      </w:r>
    </w:p>
    <w:p w14:paraId="1DDA38D0" w14:textId="77777777" w:rsidR="00294CE3" w:rsidRDefault="00D05801">
      <w:r>
        <w:rPr>
          <w:noProof/>
        </w:rPr>
        <w:drawing>
          <wp:inline distT="0" distB="0" distL="0" distR="0" wp14:anchorId="1490AC22" wp14:editId="2B2E6D47">
            <wp:extent cx="3705225" cy="2781300"/>
            <wp:effectExtent l="0" t="0" r="0" b="0"/>
            <wp:docPr id="25" name="Slide image" descr="A screenshot of a course progress interface showing two labeled sections: &quot;COMPLETED&quot; in white and &quot;NEXT&quot; in for Training 19 Formal Complaint. A button labeled &quot;EXIT COURSE&quot; is centered below the sections, indicating navigation options at the end of intak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 image" descr="A screenshot of a course progress interface showing two labeled sections: &quot;COMPLETED&quot; in white and &quot;NEXT&quot; in for Training 19 Formal Complaint. A button labeled &quot;EXIT COURSE&quot; is centered below the sections, indicating navigation options at the end of intake training"/>
                    <pic:cNvPicPr/>
                  </pic:nvPicPr>
                  <pic:blipFill>
                    <a:blip r:embed="rId31" cstate="print"/>
                    <a:stretch>
                      <a:fillRect/>
                    </a:stretch>
                  </pic:blipFill>
                  <pic:spPr>
                    <a:xfrm>
                      <a:off x="0" y="0"/>
                      <a:ext cx="3705225" cy="2781300"/>
                    </a:xfrm>
                    <a:prstGeom prst="rect">
                      <a:avLst/>
                    </a:prstGeom>
                  </pic:spPr>
                </pic:pic>
              </a:graphicData>
            </a:graphic>
          </wp:inline>
        </w:drawing>
      </w:r>
    </w:p>
    <w:p w14:paraId="57C232FE" w14:textId="77777777" w:rsidR="00294CE3" w:rsidRDefault="00D05801">
      <w:r>
        <w:rPr>
          <w:b/>
        </w:rPr>
        <w:lastRenderedPageBreak/>
        <w:t>Notes:</w:t>
      </w:r>
    </w:p>
    <w:p w14:paraId="5A5AD5EF" w14:textId="77777777" w:rsidR="00D05801" w:rsidRDefault="00D05801">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You have completed Training: Intake. Next is Training : Formal Complaint. Select Exit Course to receive credit and go to the next training. </w:t>
      </w:r>
    </w:p>
    <w:p w14:paraId="69CE2463" w14:textId="77777777" w:rsidR="00294CE3" w:rsidRDefault="00294CE3"/>
    <w:sectPr w:rsidR="00294CE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B9F56" w14:textId="77777777" w:rsidR="00D05801" w:rsidRDefault="00D05801" w:rsidP="00BF48BE">
      <w:pPr>
        <w:spacing w:after="0" w:line="240" w:lineRule="auto"/>
      </w:pPr>
      <w:r>
        <w:separator/>
      </w:r>
    </w:p>
  </w:endnote>
  <w:endnote w:type="continuationSeparator" w:id="0">
    <w:p w14:paraId="3C0053E6" w14:textId="77777777" w:rsidR="00D05801" w:rsidRDefault="00D05801"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panose1 w:val="00000000000000000000"/>
    <w:charset w:val="00"/>
    <w:family w:val="auto"/>
    <w:pitch w:val="variable"/>
    <w:sig w:usb0="E00002FF" w:usb1="4000201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D05801"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6D1E8E19" w14:textId="77777777" w:rsidR="00294CE3" w:rsidRDefault="00D05801">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6117E" w14:textId="77777777" w:rsidR="00D05801" w:rsidRDefault="00D05801" w:rsidP="00BF48BE">
      <w:pPr>
        <w:spacing w:after="0" w:line="240" w:lineRule="auto"/>
      </w:pPr>
      <w:r>
        <w:separator/>
      </w:r>
    </w:p>
  </w:footnote>
  <w:footnote w:type="continuationSeparator" w:id="0">
    <w:p w14:paraId="33EF81AB" w14:textId="77777777" w:rsidR="00D05801" w:rsidRDefault="00D05801"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0F89F5A"/>
    <w:lvl w:ilvl="0">
      <w:numFmt w:val="bullet"/>
      <w:lvlText w:val="*"/>
      <w:lvlJc w:val="left"/>
    </w:lvl>
  </w:abstractNum>
  <w:num w:numId="1" w16cid:durableId="1422216674">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83A1D"/>
    <w:rsid w:val="0015444F"/>
    <w:rsid w:val="00194824"/>
    <w:rsid w:val="00204ED9"/>
    <w:rsid w:val="00226FAE"/>
    <w:rsid w:val="00257CC5"/>
    <w:rsid w:val="002844E4"/>
    <w:rsid w:val="00294CE3"/>
    <w:rsid w:val="00295F64"/>
    <w:rsid w:val="004D7311"/>
    <w:rsid w:val="005633D2"/>
    <w:rsid w:val="00582193"/>
    <w:rsid w:val="00584D5A"/>
    <w:rsid w:val="005C12BE"/>
    <w:rsid w:val="00626EC1"/>
    <w:rsid w:val="00641304"/>
    <w:rsid w:val="00745E41"/>
    <w:rsid w:val="007E7509"/>
    <w:rsid w:val="00886967"/>
    <w:rsid w:val="009459ED"/>
    <w:rsid w:val="00970988"/>
    <w:rsid w:val="00980CBB"/>
    <w:rsid w:val="00A56036"/>
    <w:rsid w:val="00AA3FFA"/>
    <w:rsid w:val="00B21E83"/>
    <w:rsid w:val="00B57D52"/>
    <w:rsid w:val="00BF48BE"/>
    <w:rsid w:val="00C300CB"/>
    <w:rsid w:val="00CC3C37"/>
    <w:rsid w:val="00D03B1C"/>
    <w:rsid w:val="00D05801"/>
    <w:rsid w:val="00D47C71"/>
    <w:rsid w:val="00D50B54"/>
    <w:rsid w:val="00D8333C"/>
    <w:rsid w:val="00E0090B"/>
    <w:rsid w:val="00E26CE8"/>
    <w:rsid w:val="00E34F81"/>
    <w:rsid w:val="00E352C1"/>
    <w:rsid w:val="00E7115A"/>
    <w:rsid w:val="00EA0F22"/>
    <w:rsid w:val="00EB52EF"/>
    <w:rsid w:val="00EB7248"/>
    <w:rsid w:val="00F53449"/>
    <w:rsid w:val="00F572EE"/>
    <w:rsid w:val="00F6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E8CC7BB4-C4F8-4B78-9EB7-1751CE52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image" Target="media/image20.bin"/><Relationship Id="rId21" Type="http://schemas.openxmlformats.org/officeDocument/2006/relationships/image" Target="media/image15.bin"/><Relationship Id="rId34" Type="http://schemas.openxmlformats.org/officeDocument/2006/relationships/theme" Target="theme/theme1.xml"/><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image" Target="media/image19.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image" Target="media/image14.bin"/><Relationship Id="rId29" Type="http://schemas.openxmlformats.org/officeDocument/2006/relationships/image" Target="media/image2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image" Target="media/image18.bin"/><Relationship Id="rId32" Type="http://schemas.openxmlformats.org/officeDocument/2006/relationships/footer" Target="foot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image" Target="media/image17.bin"/><Relationship Id="rId28" Type="http://schemas.openxmlformats.org/officeDocument/2006/relationships/image" Target="media/image22.bin"/><Relationship Id="rId36" Type="http://schemas.openxmlformats.org/officeDocument/2006/relationships/customXml" Target="../customXml/item2.xml"/><Relationship Id="rId10" Type="http://schemas.openxmlformats.org/officeDocument/2006/relationships/image" Target="media/image4.bin"/><Relationship Id="rId19" Type="http://schemas.openxmlformats.org/officeDocument/2006/relationships/image" Target="media/image13.bin"/><Relationship Id="rId31" Type="http://schemas.openxmlformats.org/officeDocument/2006/relationships/image" Target="media/image25.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bin"/><Relationship Id="rId27" Type="http://schemas.openxmlformats.org/officeDocument/2006/relationships/image" Target="media/image21.bin"/><Relationship Id="rId30" Type="http://schemas.openxmlformats.org/officeDocument/2006/relationships/image" Target="media/image24.bin"/><Relationship Id="rId35" Type="http://schemas.openxmlformats.org/officeDocument/2006/relationships/customXml" Target="../customXml/item1.xml"/><Relationship Id="rId8" Type="http://schemas.openxmlformats.org/officeDocument/2006/relationships/image" Target="media/image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931CFC-31DA-4EC9-A50F-4165947C5E3F}"/>
</file>

<file path=customXml/itemProps2.xml><?xml version="1.0" encoding="utf-8"?>
<ds:datastoreItem xmlns:ds="http://schemas.openxmlformats.org/officeDocument/2006/customXml" ds:itemID="{05AA98A5-99DA-48F4-852F-A9B1404D4EF2}"/>
</file>

<file path=customXml/itemProps3.xml><?xml version="1.0" encoding="utf-8"?>
<ds:datastoreItem xmlns:ds="http://schemas.openxmlformats.org/officeDocument/2006/customXml" ds:itemID="{51916F57-E41B-4874-BB00-215C55FB8844}"/>
</file>

<file path=docProps/app.xml><?xml version="1.0" encoding="utf-8"?>
<Properties xmlns="http://schemas.openxmlformats.org/officeDocument/2006/extended-properties" xmlns:vt="http://schemas.openxmlformats.org/officeDocument/2006/docPropsVTypes">
  <Template>Normal</Template>
  <TotalTime>1</TotalTime>
  <Pages>18</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2026-05-29T14:17:00Z</dcterms:created>
  <dcterms:modified xsi:type="dcterms:W3CDTF">2026-05-29T14:17:00Z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