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Intake and Formal Complaints</w:t>
      </w:r>
    </w:p>
    <w:p w14:paraId="33C0724A" w14:textId="77777777" w:rsidR="00B603F9" w:rsidRDefault="007F7387">
      <w:pPr>
        <w:pStyle w:val="Heading1"/>
      </w:pPr>
      <w:r>
        <w:t>1. Intro Scene</w:t>
      </w:r>
    </w:p>
    <w:p w14:paraId="78ED5C71" w14:textId="77777777" w:rsidR="00B603F9" w:rsidRDefault="007F7387">
      <w:pPr>
        <w:pStyle w:val="Heading2"/>
      </w:pPr>
      <w:r>
        <w:t>1.1 Formal Complaints</w:t>
      </w:r>
    </w:p>
    <w:p w14:paraId="450059E8" w14:textId="77777777" w:rsidR="00B603F9" w:rsidRDefault="007F7387">
      <w:r>
        <w:rPr>
          <w:noProof/>
        </w:rPr>
        <w:drawing>
          <wp:inline distT="0" distB="0" distL="0" distR="0" wp14:anchorId="7C246C36" wp14:editId="340011D8">
            <wp:extent cx="3705225" cy="2781300"/>
            <wp:effectExtent l="0" t="0" r="0" b="0"/>
            <wp:docPr id="1" name="Slide image" descr="Introdcuctory slide titled &quot;Formal Complaints,&quot; indicating the beginning of modul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ntrodcuctory slide titled &quot;Formal Complaints,&quot; indicating the beginning of module 19"/>
                    <pic:cNvPicPr/>
                  </pic:nvPicPr>
                  <pic:blipFill>
                    <a:blip r:embed="rId7" cstate="print"/>
                    <a:stretch>
                      <a:fillRect/>
                    </a:stretch>
                  </pic:blipFill>
                  <pic:spPr>
                    <a:xfrm>
                      <a:off x="0" y="0"/>
                      <a:ext cx="3705225" cy="2781300"/>
                    </a:xfrm>
                    <a:prstGeom prst="rect">
                      <a:avLst/>
                    </a:prstGeom>
                  </pic:spPr>
                </pic:pic>
              </a:graphicData>
            </a:graphic>
          </wp:inline>
        </w:drawing>
      </w:r>
    </w:p>
    <w:p w14:paraId="3985E0B0" w14:textId="77777777" w:rsidR="00B603F9" w:rsidRDefault="007F7387">
      <w:r>
        <w:rPr>
          <w:b/>
        </w:rPr>
        <w:t>Notes:</w:t>
      </w:r>
    </w:p>
    <w:p w14:paraId="78524F61"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p>
    <w:p w14:paraId="39282435" w14:textId="77777777" w:rsidR="00B603F9" w:rsidRDefault="00B603F9"/>
    <w:p w14:paraId="5401E503" w14:textId="77777777" w:rsidR="00B603F9" w:rsidRDefault="007F7387">
      <w:pPr>
        <w:pStyle w:val="Heading2"/>
      </w:pPr>
      <w:r>
        <w:lastRenderedPageBreak/>
        <w:t>1.2 Disclaimer</w:t>
      </w:r>
    </w:p>
    <w:p w14:paraId="67BB832C" w14:textId="77777777" w:rsidR="00B603F9" w:rsidRDefault="007F7387">
      <w:r>
        <w:rPr>
          <w:noProof/>
        </w:rPr>
        <w:drawing>
          <wp:inline distT="0" distB="0" distL="0" distR="0" wp14:anchorId="1C585EC3" wp14:editId="0B888234">
            <wp:extent cx="3705225" cy="2781300"/>
            <wp:effectExtent l="0" t="0" r="0" b="0"/>
            <wp:doc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explaining that all training resources provided by the SUNY Student Conduct Institute (SCI) are not to be duplicated or shared without written consent from the SCI. This training does not create an attorney-client relationship and if you require legal advice we recommend consulting your own attorney or campus counsel."/>
                    <pic:cNvPicPr/>
                  </pic:nvPicPr>
                  <pic:blipFill>
                    <a:blip r:embed="rId8" cstate="print"/>
                    <a:stretch>
                      <a:fillRect/>
                    </a:stretch>
                  </pic:blipFill>
                  <pic:spPr>
                    <a:xfrm>
                      <a:off x="0" y="0"/>
                      <a:ext cx="3705225" cy="2781300"/>
                    </a:xfrm>
                    <a:prstGeom prst="rect">
                      <a:avLst/>
                    </a:prstGeom>
                  </pic:spPr>
                </pic:pic>
              </a:graphicData>
            </a:graphic>
          </wp:inline>
        </w:drawing>
      </w:r>
    </w:p>
    <w:p w14:paraId="1FA41C15" w14:textId="77777777" w:rsidR="00B603F9" w:rsidRDefault="007F7387">
      <w:r>
        <w:rPr>
          <w:b/>
        </w:rPr>
        <w:t>Notes:</w:t>
      </w:r>
    </w:p>
    <w:p w14:paraId="682A5D88"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All trainings and resources offered by the SUNY Student Conduct Institute (SCI) are the property of the State University of New York and may not be shared or duplicated without express written authorization from SCI or as required by law. SCI trainings and resources are intended to provide educational content and advise on general compliance, as applicable. SCI training and resources shall not constitute legal advice  or legal opinions on specific circumstances, and do not create an attorney-client relation</w:t>
      </w:r>
      <w:r>
        <w:rPr>
          <w:rFonts w:ascii="Open Sans" w:hAnsi="Open Sans" w:cs="Open Sans"/>
          <w:color w:val="000000"/>
          <w:kern w:val="0"/>
          <w:sz w:val="16"/>
          <w:szCs w:val="16"/>
        </w:rPr>
        <w:t xml:space="preserve">ship. Please consult with your own attorney or campus counsel to obtain advice regarding all matters specific to your institution.  </w:t>
      </w:r>
    </w:p>
    <w:p w14:paraId="3C531315" w14:textId="77777777" w:rsidR="00B603F9" w:rsidRDefault="00B603F9"/>
    <w:p w14:paraId="5A0FDCF3" w14:textId="77777777" w:rsidR="00B603F9" w:rsidRDefault="007F7387">
      <w:pPr>
        <w:pStyle w:val="Heading2"/>
      </w:pPr>
      <w:r>
        <w:t>1.3 Overview</w:t>
      </w:r>
    </w:p>
    <w:p w14:paraId="2D9C4BB1" w14:textId="77777777" w:rsidR="00B603F9" w:rsidRDefault="007F7387">
      <w:r>
        <w:rPr>
          <w:noProof/>
        </w:rPr>
        <w:drawing>
          <wp:inline distT="0" distB="0" distL="0" distR="0" wp14:anchorId="05381E28" wp14:editId="699BC237">
            <wp:extent cx="3705225" cy="2781300"/>
            <wp:effectExtent l="0" t="0" r="0" b="0"/>
            <wp:docPr id="3" name="Slide image" descr="Training slide titled &quot;Overview&quot; outlining the learning objective about Title IX Coordinators' responsibilities in moving allegations of sexual harassment to formal complaints and completing those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Training slide titled &quot;Overview&quot; outlining the learning objective about Title IX Coordinators' responsibilities in moving allegations of sexual harassment to formal complaints and completing those complaints"/>
                    <pic:cNvPicPr/>
                  </pic:nvPicPr>
                  <pic:blipFill>
                    <a:blip r:embed="rId9" cstate="print"/>
                    <a:stretch>
                      <a:fillRect/>
                    </a:stretch>
                  </pic:blipFill>
                  <pic:spPr>
                    <a:xfrm>
                      <a:off x="0" y="0"/>
                      <a:ext cx="3705225" cy="2781300"/>
                    </a:xfrm>
                    <a:prstGeom prst="rect">
                      <a:avLst/>
                    </a:prstGeom>
                  </pic:spPr>
                </pic:pic>
              </a:graphicData>
            </a:graphic>
          </wp:inline>
        </w:drawing>
      </w:r>
    </w:p>
    <w:p w14:paraId="601090FA" w14:textId="77777777" w:rsidR="00B603F9" w:rsidRDefault="007F7387">
      <w:r>
        <w:rPr>
          <w:b/>
        </w:rPr>
        <w:lastRenderedPageBreak/>
        <w:t>Notes:</w:t>
      </w:r>
    </w:p>
    <w:p w14:paraId="2FAEB659"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Welcome to the Formal Complaint portion of the Title IX grievance process. We will discuss what the Title IX Coordinators do when they move an allegation of sexual harassment to a formal complaint and how to complete said complaint.  </w:t>
      </w:r>
    </w:p>
    <w:p w14:paraId="5C965404" w14:textId="77777777" w:rsidR="00B603F9" w:rsidRDefault="00B603F9"/>
    <w:p w14:paraId="0E21F592" w14:textId="77777777" w:rsidR="00B603F9" w:rsidRDefault="007F7387">
      <w:pPr>
        <w:pStyle w:val="Heading2"/>
      </w:pPr>
      <w:r>
        <w:t>1.4 Actual Knowledge</w:t>
      </w:r>
    </w:p>
    <w:p w14:paraId="47D6ACE4" w14:textId="77777777" w:rsidR="00B603F9" w:rsidRDefault="007F7387">
      <w:r>
        <w:rPr>
          <w:noProof/>
        </w:rPr>
        <w:drawing>
          <wp:inline distT="0" distB="0" distL="0" distR="0" wp14:anchorId="54E9AAAA" wp14:editId="65FD4244">
            <wp:extent cx="3705225" cy="2781300"/>
            <wp:effectExtent l="0" t="0" r="0" b="0"/>
            <wp:docPr id="4" name="Slide image" descr="Slide titled &quot;Actual Knowledge&quot; discusses formal knowledge and notice concepts, partially obscured by the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Slide titled &quot;Actual Knowledge&quot; discusses formal knowledge and notice concepts, partially obscured by the folders"/>
                    <pic:cNvPicPr/>
                  </pic:nvPicPr>
                  <pic:blipFill>
                    <a:blip r:embed="rId10" cstate="print"/>
                    <a:stretch>
                      <a:fillRect/>
                    </a:stretch>
                  </pic:blipFill>
                  <pic:spPr>
                    <a:xfrm>
                      <a:off x="0" y="0"/>
                      <a:ext cx="3705225" cy="2781300"/>
                    </a:xfrm>
                    <a:prstGeom prst="rect">
                      <a:avLst/>
                    </a:prstGeom>
                  </pic:spPr>
                </pic:pic>
              </a:graphicData>
            </a:graphic>
          </wp:inline>
        </w:drawing>
      </w:r>
    </w:p>
    <w:p w14:paraId="11B39247" w14:textId="77777777" w:rsidR="00B603F9" w:rsidRDefault="007F7387">
      <w:r>
        <w:rPr>
          <w:b/>
        </w:rPr>
        <w:t>Notes:</w:t>
      </w:r>
    </w:p>
    <w:p w14:paraId="552ADB04"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As you may remember, simple “actual knowledge” or “notice” does not constitute a formal complaint. The Final Rule spells out what a formal complaint actually is. </w:t>
      </w:r>
    </w:p>
    <w:p w14:paraId="68211254" w14:textId="77777777" w:rsidR="00B603F9" w:rsidRDefault="00B603F9"/>
    <w:p w14:paraId="57C9043E" w14:textId="77777777" w:rsidR="00B603F9" w:rsidRDefault="007F7387">
      <w:pPr>
        <w:pStyle w:val="Heading2"/>
      </w:pPr>
      <w:r>
        <w:lastRenderedPageBreak/>
        <w:t>1.5 The Final Rule</w:t>
      </w:r>
    </w:p>
    <w:p w14:paraId="55B4B5A9" w14:textId="77777777" w:rsidR="00B603F9" w:rsidRDefault="007F7387">
      <w:r>
        <w:rPr>
          <w:noProof/>
        </w:rPr>
        <w:drawing>
          <wp:inline distT="0" distB="0" distL="0" distR="0" wp14:anchorId="23451633" wp14:editId="0324C05F">
            <wp:extent cx="3705225" cy="2781300"/>
            <wp:effectExtent l="0" t="0" r="0" b="0"/>
            <wp:docPr id="5" name="Slide image" descr="Presentation slide titled &quot;The Final Rule&quot; explaining the definition of a formal complaint under Title IX. The slide highlights that a formal complaint is a document filed or signed by a complainant or Title IX Coordinator alleging sexual harassment and requesting institutional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Presentation slide titled &quot;The Final Rule&quot; explaining the definition of a formal complaint under Title IX. The slide highlights that a formal complaint is a document filed or signed by a complainant or Title IX Coordinator alleging sexual harassment and requesting institutional investigation"/>
                    <pic:cNvPicPr/>
                  </pic:nvPicPr>
                  <pic:blipFill>
                    <a:blip r:embed="rId11" cstate="print"/>
                    <a:stretch>
                      <a:fillRect/>
                    </a:stretch>
                  </pic:blipFill>
                  <pic:spPr>
                    <a:xfrm>
                      <a:off x="0" y="0"/>
                      <a:ext cx="3705225" cy="2781300"/>
                    </a:xfrm>
                    <a:prstGeom prst="rect">
                      <a:avLst/>
                    </a:prstGeom>
                  </pic:spPr>
                </pic:pic>
              </a:graphicData>
            </a:graphic>
          </wp:inline>
        </w:drawing>
      </w:r>
    </w:p>
    <w:p w14:paraId="10A9E6E5" w14:textId="77777777" w:rsidR="00B603F9" w:rsidRDefault="007F7387">
      <w:r>
        <w:rPr>
          <w:b/>
        </w:rPr>
        <w:t>Notes:</w:t>
      </w:r>
    </w:p>
    <w:p w14:paraId="15D77F86" w14:textId="77777777" w:rsidR="007F7387" w:rsidRDefault="007F7387" w:rsidP="00805E34">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t xml:space="preserve">To properly process a case under the Grievance Procedures, we must first determine if we have a formal complaint.  </w:t>
      </w:r>
      <w:r>
        <w:rPr>
          <w:rFonts w:ascii="Open Sans" w:hAnsi="Open Sans" w:cs="Open Sans"/>
          <w:color w:val="000000"/>
          <w:kern w:val="0"/>
          <w:sz w:val="16"/>
          <w:szCs w:val="16"/>
        </w:rPr>
        <w:br/>
        <w:t xml:space="preserve">The Rule defines a formal complaint as  </w:t>
      </w:r>
      <w:r>
        <w:rPr>
          <w:rFonts w:ascii="Open Sans" w:hAnsi="Open Sans" w:cs="Open Sans"/>
          <w:color w:val="000000"/>
          <w:kern w:val="0"/>
          <w:sz w:val="16"/>
          <w:szCs w:val="16"/>
        </w:rPr>
        <w:br/>
        <w:t xml:space="preserve">a document, </w:t>
      </w:r>
      <w:r>
        <w:rPr>
          <w:rFonts w:ascii="Open Sans" w:hAnsi="Open Sans" w:cs="Open Sans"/>
          <w:color w:val="000000"/>
          <w:kern w:val="0"/>
          <w:sz w:val="16"/>
          <w:szCs w:val="16"/>
        </w:rPr>
        <w:br/>
      </w:r>
      <w:r>
        <w:rPr>
          <w:rFonts w:ascii="Open Sans" w:hAnsi="Open Sans" w:cs="Open Sans"/>
          <w:color w:val="000000"/>
          <w:kern w:val="0"/>
          <w:sz w:val="16"/>
          <w:szCs w:val="16"/>
        </w:rPr>
        <w:t xml:space="preserve">filed and signed by a complainant or signed by the Title IX Coordinator, </w:t>
      </w:r>
      <w:r>
        <w:rPr>
          <w:rFonts w:ascii="Open Sans" w:hAnsi="Open Sans" w:cs="Open Sans"/>
          <w:color w:val="000000"/>
          <w:kern w:val="0"/>
          <w:sz w:val="16"/>
          <w:szCs w:val="16"/>
        </w:rPr>
        <w:br/>
        <w:t xml:space="preserve">alleging sexual harassment against a respondent, and  </w:t>
      </w:r>
      <w:r>
        <w:rPr>
          <w:rFonts w:ascii="Open Sans" w:hAnsi="Open Sans" w:cs="Open Sans"/>
          <w:color w:val="000000"/>
          <w:kern w:val="0"/>
          <w:sz w:val="16"/>
          <w:szCs w:val="16"/>
        </w:rPr>
        <w:br/>
        <w:t xml:space="preserve">requesting that the institution investigate the allegation of sexual harassment. </w:t>
      </w:r>
    </w:p>
    <w:p w14:paraId="0743F5B9" w14:textId="77777777" w:rsidR="00B603F9" w:rsidRDefault="00B603F9"/>
    <w:p w14:paraId="55367CF8" w14:textId="77777777" w:rsidR="00B603F9" w:rsidRDefault="007F7387">
      <w:pPr>
        <w:pStyle w:val="Heading2"/>
      </w:pPr>
      <w:r>
        <w:t>1.6 Who can file a complaint?</w:t>
      </w:r>
    </w:p>
    <w:p w14:paraId="266509DE" w14:textId="77777777" w:rsidR="00B603F9" w:rsidRDefault="007F7387">
      <w:r>
        <w:rPr>
          <w:noProof/>
        </w:rPr>
        <w:drawing>
          <wp:inline distT="0" distB="0" distL="0" distR="0" wp14:anchorId="2C715F39" wp14:editId="02A29068">
            <wp:extent cx="3705225" cy="2781300"/>
            <wp:effectExtent l="0" t="0" r="0" b="0"/>
            <wp:docPr id="6" name="Slide image" descr="Diagram titled &quot;Who can file a complaint?&quot; showing three categories of individuals eligible to file complaints: persons participating in programs or activities of the institution, persons attempting participation in programs or activities, and Title IX Coordin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Diagram titled &quot;Who can file a complaint?&quot; showing three categories of individuals eligible to file complaints: persons participating in programs or activities of the institution, persons attempting participation in programs or activities, and Title IX Coordinator. "/>
                    <pic:cNvPicPr/>
                  </pic:nvPicPr>
                  <pic:blipFill>
                    <a:blip r:embed="rId12" cstate="print"/>
                    <a:stretch>
                      <a:fillRect/>
                    </a:stretch>
                  </pic:blipFill>
                  <pic:spPr>
                    <a:xfrm>
                      <a:off x="0" y="0"/>
                      <a:ext cx="3705225" cy="2781300"/>
                    </a:xfrm>
                    <a:prstGeom prst="rect">
                      <a:avLst/>
                    </a:prstGeom>
                  </pic:spPr>
                </pic:pic>
              </a:graphicData>
            </a:graphic>
          </wp:inline>
        </w:drawing>
      </w:r>
    </w:p>
    <w:p w14:paraId="0D383FFA" w14:textId="77777777" w:rsidR="00B603F9" w:rsidRDefault="007F7387">
      <w:r>
        <w:rPr>
          <w:b/>
        </w:rPr>
        <w:lastRenderedPageBreak/>
        <w:t>Notes:</w:t>
      </w:r>
    </w:p>
    <w:p w14:paraId="3BB60DD8" w14:textId="77777777" w:rsidR="007F7387" w:rsidRDefault="007F7387" w:rsidP="00805E34">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t xml:space="preserve">Who can file a complaint? </w:t>
      </w:r>
      <w:r>
        <w:rPr>
          <w:rFonts w:ascii="Open Sans" w:hAnsi="Open Sans" w:cs="Open Sans"/>
          <w:color w:val="000000"/>
          <w:kern w:val="0"/>
          <w:sz w:val="16"/>
          <w:szCs w:val="16"/>
        </w:rPr>
        <w:br/>
        <w:t xml:space="preserve">Persons currently participating in the educational programs or activities of the institution </w:t>
      </w:r>
      <w:r>
        <w:rPr>
          <w:rFonts w:ascii="Open Sans" w:hAnsi="Open Sans" w:cs="Open Sans"/>
          <w:color w:val="000000"/>
          <w:kern w:val="0"/>
          <w:sz w:val="16"/>
          <w:szCs w:val="16"/>
        </w:rPr>
        <w:br/>
        <w:t xml:space="preserve">Persons attempting to participate in those programs or activities </w:t>
      </w:r>
      <w:r>
        <w:rPr>
          <w:rFonts w:ascii="Open Sans" w:hAnsi="Open Sans" w:cs="Open Sans"/>
          <w:color w:val="000000"/>
          <w:kern w:val="0"/>
          <w:sz w:val="16"/>
          <w:szCs w:val="16"/>
        </w:rPr>
        <w:br/>
        <w:t xml:space="preserve">The Title IX Coordinator </w:t>
      </w:r>
    </w:p>
    <w:p w14:paraId="523DFA13" w14:textId="77777777" w:rsidR="00B603F9" w:rsidRDefault="00B603F9"/>
    <w:p w14:paraId="2EAF863E" w14:textId="77777777" w:rsidR="00B603F9" w:rsidRDefault="007F7387">
      <w:pPr>
        <w:pStyle w:val="Heading2"/>
      </w:pPr>
      <w:r>
        <w:t>1.7 Multiple Complaints</w:t>
      </w:r>
    </w:p>
    <w:p w14:paraId="1EBDBC1C" w14:textId="77777777" w:rsidR="00B603F9" w:rsidRDefault="007F7387">
      <w:r>
        <w:rPr>
          <w:noProof/>
        </w:rPr>
        <w:drawing>
          <wp:inline distT="0" distB="0" distL="0" distR="0" wp14:anchorId="145EC622" wp14:editId="4F15BF0E">
            <wp:extent cx="3705225" cy="2781300"/>
            <wp:effectExtent l="0" t="0" r="0" b="0"/>
            <wp:docPr id="7" name="Slide image" descr="Slide titeld &quot;Multiple Complaints,&quot; with two text boxes that highlight issues related to misconduct investigations, suggesting complexity and the need for thorough 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Slide titeld &quot;Multiple Complaints,&quot; with two text boxes that highlight issues related to misconduct investigations, suggesting complexity and the need for thorough review"/>
                    <pic:cNvPicPr/>
                  </pic:nvPicPr>
                  <pic:blipFill>
                    <a:blip r:embed="rId13" cstate="print"/>
                    <a:stretch>
                      <a:fillRect/>
                    </a:stretch>
                  </pic:blipFill>
                  <pic:spPr>
                    <a:xfrm>
                      <a:off x="0" y="0"/>
                      <a:ext cx="3705225" cy="2781300"/>
                    </a:xfrm>
                    <a:prstGeom prst="rect">
                      <a:avLst/>
                    </a:prstGeom>
                  </pic:spPr>
                </pic:pic>
              </a:graphicData>
            </a:graphic>
          </wp:inline>
        </w:drawing>
      </w:r>
    </w:p>
    <w:p w14:paraId="6FE651DD" w14:textId="77777777" w:rsidR="00B603F9" w:rsidRDefault="007F7387">
      <w:r>
        <w:rPr>
          <w:b/>
        </w:rPr>
        <w:t>Notes:</w:t>
      </w:r>
    </w:p>
    <w:p w14:paraId="532941C2"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Multiple complaints from the same incidents may be consolidated and heard at one time. However, if allegations of other misconduct were to be identified during an investigation, a revised notice of allegations (and possible additional investigation) would be required. </w:t>
      </w:r>
    </w:p>
    <w:p w14:paraId="70CC9F58" w14:textId="77777777" w:rsidR="00B603F9" w:rsidRDefault="00B603F9"/>
    <w:p w14:paraId="7509D413" w14:textId="77777777" w:rsidR="00B603F9" w:rsidRDefault="007F7387">
      <w:pPr>
        <w:pStyle w:val="Heading2"/>
      </w:pPr>
      <w:r>
        <w:lastRenderedPageBreak/>
        <w:t>1.8 Complainant Considerations</w:t>
      </w:r>
    </w:p>
    <w:p w14:paraId="1519C654" w14:textId="77777777" w:rsidR="00B603F9" w:rsidRDefault="007F7387">
      <w:r>
        <w:rPr>
          <w:noProof/>
        </w:rPr>
        <w:drawing>
          <wp:inline distT="0" distB="0" distL="0" distR="0" wp14:anchorId="12E3B137" wp14:editId="692D8A97">
            <wp:extent cx="3705225" cy="2781300"/>
            <wp:effectExtent l="0" t="0" r="0" b="0"/>
            <wp:docPr id="8" name="Slide image" descr="Slide titled &quot;Complaint Considerations,&quot; with text highlights key points about informing complainants, intake process, and consulting on next steps, emphasizing procedural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Slide titled &quot;Complaint Considerations,&quot; with text highlights key points about informing complainants, intake process, and consulting on next steps, emphasizing procedural guidance"/>
                    <pic:cNvPicPr/>
                  </pic:nvPicPr>
                  <pic:blipFill>
                    <a:blip r:embed="rId14" cstate="print"/>
                    <a:stretch>
                      <a:fillRect/>
                    </a:stretch>
                  </pic:blipFill>
                  <pic:spPr>
                    <a:xfrm>
                      <a:off x="0" y="0"/>
                      <a:ext cx="3705225" cy="2781300"/>
                    </a:xfrm>
                    <a:prstGeom prst="rect">
                      <a:avLst/>
                    </a:prstGeom>
                  </pic:spPr>
                </pic:pic>
              </a:graphicData>
            </a:graphic>
          </wp:inline>
        </w:drawing>
      </w:r>
    </w:p>
    <w:p w14:paraId="18DA4DE0" w14:textId="77777777" w:rsidR="00B603F9" w:rsidRDefault="007F7387">
      <w:r>
        <w:rPr>
          <w:b/>
        </w:rPr>
        <w:t>Notes:</w:t>
      </w:r>
    </w:p>
    <w:p w14:paraId="1538DED1" w14:textId="77777777" w:rsidR="007F7387" w:rsidRDefault="007F7387" w:rsidP="00805E34">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t xml:space="preserve">Some things to consider: </w:t>
      </w:r>
      <w:r>
        <w:rPr>
          <w:rFonts w:ascii="Open Sans" w:hAnsi="Open Sans" w:cs="Open Sans"/>
          <w:color w:val="000000"/>
          <w:kern w:val="0"/>
          <w:sz w:val="16"/>
          <w:szCs w:val="16"/>
        </w:rPr>
        <w:br/>
        <w:t xml:space="preserve">Individuals will still, despite being informed of them, have varied familiarity with the process </w:t>
      </w:r>
      <w:r>
        <w:rPr>
          <w:rFonts w:ascii="Open Sans" w:hAnsi="Open Sans" w:cs="Open Sans"/>
          <w:color w:val="000000"/>
          <w:kern w:val="0"/>
          <w:sz w:val="16"/>
          <w:szCs w:val="16"/>
        </w:rPr>
        <w:br/>
        <w:t>Some complaints a</w:t>
      </w:r>
      <w:r>
        <w:rPr>
          <w:rFonts w:ascii="Open Sans" w:hAnsi="Open Sans" w:cs="Open Sans"/>
          <w:color w:val="000000"/>
          <w:kern w:val="0"/>
          <w:sz w:val="16"/>
          <w:szCs w:val="16"/>
        </w:rPr>
        <w:t xml:space="preserve">re delayed, and are not necessarily immediately following an intake </w:t>
      </w:r>
      <w:r>
        <w:rPr>
          <w:rFonts w:ascii="Open Sans" w:hAnsi="Open Sans" w:cs="Open Sans"/>
          <w:color w:val="000000"/>
          <w:kern w:val="0"/>
          <w:sz w:val="16"/>
          <w:szCs w:val="16"/>
        </w:rPr>
        <w:br/>
        <w:t xml:space="preserve">Some complainants may stop responding to your requests and attempts to communicate. If that’s the case, you will need to consult with your counsel and staff about next steps. You’ve received a formal complaint; </w:t>
      </w:r>
      <w:proofErr w:type="gramStart"/>
      <w:r>
        <w:rPr>
          <w:rFonts w:ascii="Open Sans" w:hAnsi="Open Sans" w:cs="Open Sans"/>
          <w:color w:val="000000"/>
          <w:kern w:val="0"/>
          <w:sz w:val="16"/>
          <w:szCs w:val="16"/>
        </w:rPr>
        <w:t>therefore</w:t>
      </w:r>
      <w:proofErr w:type="gramEnd"/>
      <w:r>
        <w:rPr>
          <w:rFonts w:ascii="Open Sans" w:hAnsi="Open Sans" w:cs="Open Sans"/>
          <w:color w:val="000000"/>
          <w:kern w:val="0"/>
          <w:sz w:val="16"/>
          <w:szCs w:val="16"/>
        </w:rPr>
        <w:t xml:space="preserve"> you have an obligation to progress through your options. </w:t>
      </w:r>
    </w:p>
    <w:p w14:paraId="41C8A3D5" w14:textId="77777777" w:rsidR="00B603F9" w:rsidRDefault="00B603F9"/>
    <w:p w14:paraId="49420D27" w14:textId="77777777" w:rsidR="00B603F9" w:rsidRDefault="007F7387">
      <w:pPr>
        <w:pStyle w:val="Heading2"/>
      </w:pPr>
      <w:r>
        <w:t>1.9 Document Filed By Complainant</w:t>
      </w:r>
    </w:p>
    <w:p w14:paraId="05FF64CB" w14:textId="77777777" w:rsidR="00B603F9" w:rsidRDefault="007F7387">
      <w:r>
        <w:rPr>
          <w:noProof/>
        </w:rPr>
        <w:drawing>
          <wp:inline distT="0" distB="0" distL="0" distR="0" wp14:anchorId="44123A8F" wp14:editId="4928B1FF">
            <wp:extent cx="3705225" cy="2781300"/>
            <wp:effectExtent l="0" t="0" r="0" b="0"/>
            <wp:docPr id="9" name="Slide image" descr="Diagram illustrating formal complaint filing process, showing three steps with icons: document with physical or digital signature, receipt by Title IX Coordinator, and grievance procedure start. Blue arrows connect steps, emphasizing sequence from submission to grievance init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Diagram illustrating formal complaint filing process, showing three steps with icons: document with physical or digital signature, receipt by Title IX Coordinator, and grievance procedure start. Blue arrows connect steps, emphasizing sequence from submission to grievance initiation"/>
                    <pic:cNvPicPr/>
                  </pic:nvPicPr>
                  <pic:blipFill>
                    <a:blip r:embed="rId15" cstate="print"/>
                    <a:stretch>
                      <a:fillRect/>
                    </a:stretch>
                  </pic:blipFill>
                  <pic:spPr>
                    <a:xfrm>
                      <a:off x="0" y="0"/>
                      <a:ext cx="3705225" cy="2781300"/>
                    </a:xfrm>
                    <a:prstGeom prst="rect">
                      <a:avLst/>
                    </a:prstGeom>
                  </pic:spPr>
                </pic:pic>
              </a:graphicData>
            </a:graphic>
          </wp:inline>
        </w:drawing>
      </w:r>
    </w:p>
    <w:p w14:paraId="31CA6822" w14:textId="77777777" w:rsidR="00B603F9" w:rsidRDefault="007F7387">
      <w:r>
        <w:rPr>
          <w:b/>
        </w:rPr>
        <w:lastRenderedPageBreak/>
        <w:t>Notes:</w:t>
      </w:r>
    </w:p>
    <w:p w14:paraId="419BCC9F" w14:textId="77777777" w:rsidR="007F7387" w:rsidRDefault="007F7387">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 xml:space="preserve">The Rule states that a formal complaint may be filed with the Title IX Coordinator in person, by mail, or by electronic mail.  </w:t>
      </w:r>
    </w:p>
    <w:p w14:paraId="1105CEA0" w14:textId="77777777" w:rsidR="007F7387" w:rsidRDefault="007F7387">
      <w:pPr>
        <w:widowControl w:val="0"/>
        <w:autoSpaceDE w:val="0"/>
        <w:autoSpaceDN w:val="0"/>
        <w:adjustRightInd w:val="0"/>
        <w:spacing w:after="0" w:line="240" w:lineRule="auto"/>
        <w:rPr>
          <w:rFonts w:ascii="Open Sans" w:hAnsi="Open Sans" w:cs="Open Sans"/>
          <w:color w:val="000000"/>
          <w:kern w:val="0"/>
          <w:sz w:val="16"/>
          <w:szCs w:val="16"/>
        </w:rPr>
      </w:pPr>
    </w:p>
    <w:p w14:paraId="26D481F4"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“Document filed by a complainant”</w:t>
      </w:r>
      <w:r>
        <w:rPr>
          <w:rFonts w:ascii="Open Sans" w:hAnsi="Open Sans" w:cs="Open Sans"/>
          <w:color w:val="000000"/>
          <w:kern w:val="0"/>
          <w:sz w:val="16"/>
          <w:szCs w:val="16"/>
        </w:rPr>
        <w:t xml:space="preserve"> means a document or electronic submission (such as by electronic mail or through an online portal provided for this purpose by the recipient) that contains the complainant’s physical or digital signature or otherwise indicates that the complainant is the person filing the formal complaint.  </w:t>
      </w:r>
      <w:r>
        <w:rPr>
          <w:rFonts w:ascii="Open Sans" w:hAnsi="Open Sans" w:cs="Open Sans"/>
          <w:color w:val="000000"/>
          <w:kern w:val="0"/>
          <w:sz w:val="16"/>
          <w:szCs w:val="16"/>
        </w:rPr>
        <w:br/>
        <w:t>If you have received an email from the institutional email account of a student or employee, and that email alleges Title IX covered sexual harassment and requests that the institution take formal action to address it,</w:t>
      </w:r>
      <w:r>
        <w:rPr>
          <w:rFonts w:ascii="Open Sans" w:hAnsi="Open Sans" w:cs="Open Sans"/>
          <w:color w:val="000000"/>
          <w:kern w:val="0"/>
          <w:sz w:val="16"/>
          <w:szCs w:val="16"/>
        </w:rPr>
        <w:t xml:space="preserve"> it's likely that you have a formal complaint. That means you are officially in your grievance procedure and the clock is ticking for you to take the required next steps. </w:t>
      </w:r>
    </w:p>
    <w:p w14:paraId="418A3F76" w14:textId="77777777" w:rsidR="00B603F9" w:rsidRDefault="00B603F9"/>
    <w:p w14:paraId="6FB17931" w14:textId="77777777" w:rsidR="00B603F9" w:rsidRDefault="007F7387">
      <w:pPr>
        <w:pStyle w:val="Heading2"/>
      </w:pPr>
      <w:r>
        <w:t>1.10 Complainant Autonomy</w:t>
      </w:r>
    </w:p>
    <w:p w14:paraId="06833927" w14:textId="77777777" w:rsidR="00B603F9" w:rsidRDefault="007F7387">
      <w:r>
        <w:rPr>
          <w:noProof/>
        </w:rPr>
        <w:drawing>
          <wp:inline distT="0" distB="0" distL="0" distR="0" wp14:anchorId="0A5D66E7" wp14:editId="73ADA450">
            <wp:extent cx="3705225" cy="2781300"/>
            <wp:effectExtent l="0" t="0" r="0" b="0"/>
            <wp:docPr id="10" name="Slide image" descr="A text-based slide titled &quot;Complainant Autonomy&quot; explains that complainants may pursue other disciplinary options and that institutions cannot allow complainants to choose the law or due process level if allegations involve sexual hara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A text-based slide titled &quot;Complainant Autonomy&quot; explains that complainants may pursue other disciplinary options and that institutions cannot allow complainants to choose the law or due process level if allegations involve sexual harassment"/>
                    <pic:cNvPicPr/>
                  </pic:nvPicPr>
                  <pic:blipFill>
                    <a:blip r:embed="rId16" cstate="print"/>
                    <a:stretch>
                      <a:fillRect/>
                    </a:stretch>
                  </pic:blipFill>
                  <pic:spPr>
                    <a:xfrm>
                      <a:off x="0" y="0"/>
                      <a:ext cx="3705225" cy="2781300"/>
                    </a:xfrm>
                    <a:prstGeom prst="rect">
                      <a:avLst/>
                    </a:prstGeom>
                  </pic:spPr>
                </pic:pic>
              </a:graphicData>
            </a:graphic>
          </wp:inline>
        </w:drawing>
      </w:r>
    </w:p>
    <w:p w14:paraId="73343374" w14:textId="77777777" w:rsidR="00B603F9" w:rsidRDefault="007F7387">
      <w:r>
        <w:rPr>
          <w:b/>
        </w:rPr>
        <w:t>Notes:</w:t>
      </w:r>
    </w:p>
    <w:p w14:paraId="61183B3E"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What does complainant autonomy mean? If the complainant is uncomfortable with the grievance process after it has been explained to them, they may wish to pursue another option that leads to discipline. If the allegations constitute sexual harassment, however, that is not possible. Institutions are not permitted to allow complainants to choose the law and level of due process that is applied to the respondent. The good news here is that the complainant can participate in the process as much or as little as t</w:t>
      </w:r>
      <w:r>
        <w:rPr>
          <w:rFonts w:ascii="Open Sans" w:hAnsi="Open Sans" w:cs="Open Sans"/>
          <w:color w:val="000000"/>
          <w:kern w:val="0"/>
          <w:sz w:val="16"/>
          <w:szCs w:val="16"/>
        </w:rPr>
        <w:t xml:space="preserve">hey would like. </w:t>
      </w:r>
    </w:p>
    <w:p w14:paraId="79A5A621" w14:textId="77777777" w:rsidR="00B603F9" w:rsidRDefault="00B603F9"/>
    <w:p w14:paraId="62E33806" w14:textId="77777777" w:rsidR="00B603F9" w:rsidRDefault="007F7387">
      <w:pPr>
        <w:pStyle w:val="Heading2"/>
      </w:pPr>
      <w:r>
        <w:lastRenderedPageBreak/>
        <w:t>1.11 Declining Formal Complaint</w:t>
      </w:r>
    </w:p>
    <w:p w14:paraId="41E917B8" w14:textId="77777777" w:rsidR="00B603F9" w:rsidRDefault="007F7387">
      <w:r>
        <w:rPr>
          <w:noProof/>
        </w:rPr>
        <w:drawing>
          <wp:inline distT="0" distB="0" distL="0" distR="0" wp14:anchorId="3C41756C" wp14:editId="711E65EE">
            <wp:extent cx="3705225" cy="2781300"/>
            <wp:effectExtent l="0" t="0" r="0" b="0"/>
            <wp:docPr id="11" name="Slide image" descr="Presentation slide titled &quot;Declining Formal Complaint&quot; explaining procedures when a complainant declines to file or participate in a formal complaint process. Slide contains four bullet points detailing complaint completion, coordinator's filing ability, and complainant's rights to notices, review, and hearings, with a background showing partially visible colored file f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Presentation slide titled &quot;Declining Formal Complaint&quot; explaining procedures when a complainant declines to file or participate in a formal complaint process. Slide contains four bullet points detailing complaint completion, coordinator's filing ability, and complainant's rights to notices, review, and hearings, with a background showing partially visible colored file folders"/>
                    <pic:cNvPicPr/>
                  </pic:nvPicPr>
                  <pic:blipFill>
                    <a:blip r:embed="rId17" cstate="print"/>
                    <a:stretch>
                      <a:fillRect/>
                    </a:stretch>
                  </pic:blipFill>
                  <pic:spPr>
                    <a:xfrm>
                      <a:off x="0" y="0"/>
                      <a:ext cx="3705225" cy="2781300"/>
                    </a:xfrm>
                    <a:prstGeom prst="rect">
                      <a:avLst/>
                    </a:prstGeom>
                  </pic:spPr>
                </pic:pic>
              </a:graphicData>
            </a:graphic>
          </wp:inline>
        </w:drawing>
      </w:r>
    </w:p>
    <w:p w14:paraId="263FCA02" w14:textId="77777777" w:rsidR="00B603F9" w:rsidRDefault="007F7387">
      <w:r>
        <w:rPr>
          <w:b/>
        </w:rPr>
        <w:t>Notes:</w:t>
      </w:r>
    </w:p>
    <w:p w14:paraId="0697D203" w14:textId="77777777" w:rsidR="007F7387" w:rsidRDefault="007F7387">
      <w:pPr>
        <w:widowControl w:val="0"/>
        <w:autoSpaceDE w:val="0"/>
        <w:autoSpaceDN w:val="0"/>
        <w:adjustRightInd w:val="0"/>
        <w:spacing w:after="0" w:line="240" w:lineRule="auto"/>
        <w:rPr>
          <w:rFonts w:ascii="Open Sans" w:hAnsi="Open Sans" w:cs="Open Sans"/>
          <w:color w:val="000000"/>
          <w:kern w:val="0"/>
          <w:sz w:val="16"/>
          <w:szCs w:val="16"/>
        </w:rPr>
      </w:pPr>
      <w:r>
        <w:rPr>
          <w:rFonts w:ascii="Open Sans" w:hAnsi="Open Sans" w:cs="Open Sans"/>
          <w:color w:val="000000"/>
          <w:kern w:val="0"/>
          <w:sz w:val="16"/>
          <w:szCs w:val="16"/>
        </w:rPr>
        <w:t>The complainant may decline to file a formal complaint. Or they may choose to file the complaint, and then decline to participate in the grievance process any further. When a complaint is filed, it should run to completion - meaning, a dismissal or a final determination. Although the institution may dismiss if the complainant withdraws their complaint or if the institution is otherwise unable to gather sufficient evidence, the process can often continue even without a complainant’s continuing involvement. W</w:t>
      </w:r>
      <w:r>
        <w:rPr>
          <w:rFonts w:ascii="Open Sans" w:hAnsi="Open Sans" w:cs="Open Sans"/>
          <w:color w:val="000000"/>
          <w:kern w:val="0"/>
          <w:sz w:val="16"/>
          <w:szCs w:val="16"/>
        </w:rPr>
        <w:t xml:space="preserve">hile not ideal, it may mean that a hearing is held without one or more parties’ participation or involvement. In situations where one or both parties do not appear at the hearing, the party should still have an advisor present to conduct cross-examination on their behalf.  </w:t>
      </w:r>
    </w:p>
    <w:p w14:paraId="0960701F" w14:textId="77777777" w:rsidR="007F7387" w:rsidRDefault="007F7387">
      <w:pPr>
        <w:widowControl w:val="0"/>
        <w:autoSpaceDE w:val="0"/>
        <w:autoSpaceDN w:val="0"/>
        <w:adjustRightInd w:val="0"/>
        <w:spacing w:after="0" w:line="240" w:lineRule="auto"/>
        <w:rPr>
          <w:rFonts w:ascii="Open Sans" w:hAnsi="Open Sans" w:cs="Open Sans"/>
          <w:color w:val="000000"/>
          <w:kern w:val="0"/>
          <w:sz w:val="16"/>
          <w:szCs w:val="16"/>
        </w:rPr>
      </w:pPr>
    </w:p>
    <w:p w14:paraId="53B9FD1F"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32"/>
          <w:szCs w:val="32"/>
        </w:rPr>
        <w:t xml:space="preserve">Ultimately, the Title IX Coordinator also retains the ability to file a formal complaint themselves if the reporting individual declines to do so. However, remember that the reporting individual would still be identified as the complainant in that case. The complainant will still receive all written notices, have the right to review evidence, attend the hearing, etc. </w:t>
      </w:r>
    </w:p>
    <w:p w14:paraId="21308061" w14:textId="77777777" w:rsidR="00B603F9" w:rsidRDefault="00B603F9"/>
    <w:p w14:paraId="5CB9D537" w14:textId="77777777" w:rsidR="00B603F9" w:rsidRDefault="007F7387">
      <w:pPr>
        <w:pStyle w:val="Heading2"/>
      </w:pPr>
      <w:r>
        <w:lastRenderedPageBreak/>
        <w:t>1.12 Institution Requirements</w:t>
      </w:r>
    </w:p>
    <w:p w14:paraId="60357FDC" w14:textId="77777777" w:rsidR="00B603F9" w:rsidRDefault="007F7387">
      <w:r>
        <w:rPr>
          <w:noProof/>
        </w:rPr>
        <w:drawing>
          <wp:inline distT="0" distB="0" distL="0" distR="0" wp14:anchorId="36429158" wp14:editId="662E9D50">
            <wp:extent cx="3705225" cy="2781300"/>
            <wp:effectExtent l="0" t="0" r="0" b="0"/>
            <wp:docPr id="12" name="Slide image" descr="Screenshot of a webpage section titled &quot;Institution Requirements&quot; featuring three buttons labeled Notice, Evidence, and Advisor. The page prompts users to select a button to find out more, indicating an interactive interface for accessing specific institu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Screenshot of a webpage section titled &quot;Institution Requirements&quot; featuring three buttons labeled Notice, Evidence, and Advisor. The page prompts users to select a button to find out more, indicating an interactive interface for accessing specific institutional information"/>
                    <pic:cNvPicPr/>
                  </pic:nvPicPr>
                  <pic:blipFill>
                    <a:blip r:embed="rId18" cstate="print"/>
                    <a:stretch>
                      <a:fillRect/>
                    </a:stretch>
                  </pic:blipFill>
                  <pic:spPr>
                    <a:xfrm>
                      <a:off x="0" y="0"/>
                      <a:ext cx="3705225" cy="2781300"/>
                    </a:xfrm>
                    <a:prstGeom prst="rect">
                      <a:avLst/>
                    </a:prstGeom>
                  </pic:spPr>
                </pic:pic>
              </a:graphicData>
            </a:graphic>
          </wp:inline>
        </w:drawing>
      </w:r>
    </w:p>
    <w:p w14:paraId="7F7715CD" w14:textId="77777777" w:rsidR="00B603F9" w:rsidRDefault="007F7387">
      <w:r>
        <w:rPr>
          <w:b/>
        </w:rPr>
        <w:t>Notes:</w:t>
      </w:r>
    </w:p>
    <w:p w14:paraId="28260284" w14:textId="77777777" w:rsidR="007F7387" w:rsidRDefault="007F7387" w:rsidP="00805E34">
      <w:pPr>
        <w:widowControl w:val="0"/>
        <w:numPr>
          <w:ilvl w:val="0"/>
          <w:numId w:val="1"/>
        </w:numPr>
        <w:autoSpaceDE w:val="0"/>
        <w:autoSpaceDN w:val="0"/>
        <w:adjustRightInd w:val="0"/>
        <w:spacing w:after="0" w:line="240" w:lineRule="auto"/>
        <w:ind w:left="147" w:hanging="147"/>
        <w:rPr>
          <w:rFonts w:ascii="Microsoft Sans Serif" w:hAnsi="Microsoft Sans Serif" w:cs="Microsoft Sans Serif"/>
          <w:kern w:val="0"/>
          <w:sz w:val="17"/>
          <w:szCs w:val="17"/>
        </w:rPr>
      </w:pPr>
      <w:r>
        <w:rPr>
          <w:rFonts w:ascii="Open Sans" w:hAnsi="Open Sans" w:cs="Open Sans"/>
          <w:color w:val="000000"/>
          <w:kern w:val="0"/>
          <w:sz w:val="16"/>
          <w:szCs w:val="16"/>
        </w:rPr>
        <w:t xml:space="preserve">Institutional requirements after a formal complaint </w:t>
      </w:r>
      <w:proofErr w:type="gramStart"/>
      <w:r>
        <w:rPr>
          <w:rFonts w:ascii="Open Sans" w:hAnsi="Open Sans" w:cs="Open Sans"/>
          <w:color w:val="000000"/>
          <w:kern w:val="0"/>
          <w:sz w:val="16"/>
          <w:szCs w:val="16"/>
        </w:rPr>
        <w:t>is</w:t>
      </w:r>
      <w:proofErr w:type="gramEnd"/>
      <w:r>
        <w:rPr>
          <w:rFonts w:ascii="Open Sans" w:hAnsi="Open Sans" w:cs="Open Sans"/>
          <w:color w:val="000000"/>
          <w:kern w:val="0"/>
          <w:sz w:val="16"/>
          <w:szCs w:val="16"/>
        </w:rPr>
        <w:t xml:space="preserve"> filed:</w:t>
      </w:r>
      <w:r>
        <w:rPr>
          <w:rFonts w:ascii="Open Sans" w:hAnsi="Open Sans" w:cs="Open Sans"/>
          <w:color w:val="000000"/>
          <w:kern w:val="0"/>
          <w:sz w:val="16"/>
          <w:szCs w:val="16"/>
        </w:rPr>
        <w:br/>
        <w:t xml:space="preserve">When a formal complaint has been filed with an institution, the grievance process begins. Institutions are required to: </w:t>
      </w:r>
      <w:r>
        <w:rPr>
          <w:rFonts w:ascii="Open Sans" w:hAnsi="Open Sans" w:cs="Open Sans"/>
          <w:color w:val="000000"/>
          <w:kern w:val="0"/>
          <w:sz w:val="16"/>
          <w:szCs w:val="16"/>
        </w:rPr>
        <w:br/>
      </w:r>
      <w:r>
        <w:rPr>
          <w:rFonts w:ascii="Open Sans" w:hAnsi="Open Sans" w:cs="Open Sans"/>
          <w:color w:val="000000"/>
          <w:kern w:val="0"/>
          <w:sz w:val="16"/>
          <w:szCs w:val="16"/>
        </w:rPr>
        <w:t xml:space="preserve">Notify all parties of a formal complaint simultaneously </w:t>
      </w:r>
      <w:r>
        <w:rPr>
          <w:rFonts w:ascii="Open Sans" w:hAnsi="Open Sans" w:cs="Open Sans"/>
          <w:color w:val="000000"/>
          <w:kern w:val="0"/>
          <w:sz w:val="16"/>
          <w:szCs w:val="16"/>
        </w:rPr>
        <w:br/>
        <w:t xml:space="preserve">Ensure burden of proof and evidence gathering is institution’s responsibility </w:t>
      </w:r>
      <w:r>
        <w:rPr>
          <w:rFonts w:ascii="Open Sans" w:hAnsi="Open Sans" w:cs="Open Sans"/>
          <w:color w:val="000000"/>
          <w:kern w:val="0"/>
          <w:sz w:val="16"/>
          <w:szCs w:val="16"/>
        </w:rPr>
        <w:br/>
        <w:t xml:space="preserve">Prohibit access, consideration, disclosure, or use of a party’s confidential records without party’s consent </w:t>
      </w:r>
      <w:r>
        <w:rPr>
          <w:rFonts w:ascii="Open Sans" w:hAnsi="Open Sans" w:cs="Open Sans"/>
          <w:color w:val="000000"/>
          <w:kern w:val="0"/>
          <w:sz w:val="16"/>
          <w:szCs w:val="16"/>
        </w:rPr>
        <w:br/>
        <w:t xml:space="preserve">Ensure access to advisor of choice during all components of grievance proceedings </w:t>
      </w:r>
      <w:r>
        <w:rPr>
          <w:rFonts w:ascii="Open Sans" w:hAnsi="Open Sans" w:cs="Open Sans"/>
          <w:color w:val="000000"/>
          <w:kern w:val="0"/>
          <w:sz w:val="16"/>
          <w:szCs w:val="16"/>
        </w:rPr>
        <w:br/>
        <w:t xml:space="preserve">Provide written notice of date, time, location, participants, and purpose of all meetings with sufficient time for preparation </w:t>
      </w:r>
      <w:r>
        <w:rPr>
          <w:rFonts w:ascii="Open Sans" w:hAnsi="Open Sans" w:cs="Open Sans"/>
          <w:color w:val="000000"/>
          <w:kern w:val="0"/>
          <w:sz w:val="16"/>
          <w:szCs w:val="16"/>
        </w:rPr>
        <w:br/>
        <w:t>Ensure equal opportunities for inspection and review of</w:t>
      </w:r>
      <w:r>
        <w:rPr>
          <w:rFonts w:ascii="Open Sans" w:hAnsi="Open Sans" w:cs="Open Sans"/>
          <w:color w:val="000000"/>
          <w:kern w:val="0"/>
          <w:sz w:val="16"/>
          <w:szCs w:val="16"/>
        </w:rPr>
        <w:t xml:space="preserve"> evidence to both parties </w:t>
      </w:r>
      <w:r>
        <w:rPr>
          <w:rFonts w:ascii="Open Sans" w:hAnsi="Open Sans" w:cs="Open Sans"/>
          <w:color w:val="000000"/>
          <w:kern w:val="0"/>
          <w:sz w:val="16"/>
          <w:szCs w:val="16"/>
        </w:rPr>
        <w:br/>
        <w:t xml:space="preserve">Ensure access to evidence prior to an investigation’s conclusion, with ten days to submit a written response </w:t>
      </w:r>
      <w:r>
        <w:rPr>
          <w:rFonts w:ascii="Open Sans" w:hAnsi="Open Sans" w:cs="Open Sans"/>
          <w:color w:val="000000"/>
          <w:kern w:val="0"/>
          <w:sz w:val="16"/>
          <w:szCs w:val="16"/>
        </w:rPr>
        <w:br/>
        <w:t xml:space="preserve">Create an investigative report summarizing relevant information at least ten days prior to a hearing, and send to all parties simultaneously with an opportunity to respond </w:t>
      </w:r>
    </w:p>
    <w:p w14:paraId="553B5379" w14:textId="77777777" w:rsidR="00B603F9" w:rsidRDefault="00B603F9"/>
    <w:p w14:paraId="5FFE3AC5" w14:textId="77777777" w:rsidR="00B603F9" w:rsidRDefault="007F7387">
      <w:pPr>
        <w:pStyle w:val="Heading2"/>
      </w:pPr>
      <w:r>
        <w:lastRenderedPageBreak/>
        <w:t>1.13 Dismissed Complaints under the Final Rule</w:t>
      </w:r>
    </w:p>
    <w:p w14:paraId="37219466" w14:textId="77777777" w:rsidR="00B603F9" w:rsidRDefault="007F7387">
      <w:r>
        <w:rPr>
          <w:noProof/>
        </w:rPr>
        <w:drawing>
          <wp:inline distT="0" distB="0" distL="0" distR="0" wp14:anchorId="32CEA008" wp14:editId="1DE510EA">
            <wp:extent cx="3705225" cy="2781300"/>
            <wp:effectExtent l="0" t="0" r="0" b="0"/>
            <wp:docPr id="13" name="Slide image" descr="A text-based slide titled &quot;Dismissed Complaints under the Final Rule&quot; outlines conditions for complaint dismissal, including allegations not meeting sexual harassment definitions, misconduct outside educational programs, misconduct not involving a person in the U.S., and state legislation requirements. The slide uses a blue and orange color scheme with bullet points for clarity and emphasis on key dismissal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A text-based slide titled &quot;Dismissed Complaints under the Final Rule&quot; outlines conditions for complaint dismissal, including allegations not meeting sexual harassment definitions, misconduct outside educational programs, misconduct not involving a person in the U.S., and state legislation requirements. The slide uses a blue and orange color scheme with bullet points for clarity and emphasis on key dismissal criteria"/>
                    <pic:cNvPicPr/>
                  </pic:nvPicPr>
                  <pic:blipFill>
                    <a:blip r:embed="rId19" cstate="print"/>
                    <a:stretch>
                      <a:fillRect/>
                    </a:stretch>
                  </pic:blipFill>
                  <pic:spPr>
                    <a:xfrm>
                      <a:off x="0" y="0"/>
                      <a:ext cx="3705225" cy="2781300"/>
                    </a:xfrm>
                    <a:prstGeom prst="rect">
                      <a:avLst/>
                    </a:prstGeom>
                  </pic:spPr>
                </pic:pic>
              </a:graphicData>
            </a:graphic>
          </wp:inline>
        </w:drawing>
      </w:r>
    </w:p>
    <w:p w14:paraId="1E46D80F" w14:textId="77777777" w:rsidR="00B603F9" w:rsidRDefault="007F7387">
      <w:r>
        <w:rPr>
          <w:b/>
        </w:rPr>
        <w:t>Notes:</w:t>
      </w:r>
    </w:p>
    <w:p w14:paraId="05D65F99"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Not all complaints progress to the conclusion of a live hearing. Sometimes complaints are dismissed, and institutions want to ensure that the “correct” decision is made. Fortunately, the final rule is relatively clear in this area.  </w:t>
      </w:r>
      <w:r>
        <w:rPr>
          <w:rFonts w:ascii="Open Sans" w:hAnsi="Open Sans" w:cs="Open Sans"/>
          <w:color w:val="000000"/>
          <w:kern w:val="0"/>
          <w:sz w:val="16"/>
          <w:szCs w:val="16"/>
        </w:rPr>
        <w:br/>
        <w:t xml:space="preserve">Complaints must be dismissed if: </w:t>
      </w:r>
      <w:r>
        <w:rPr>
          <w:rFonts w:ascii="Open Sans" w:hAnsi="Open Sans" w:cs="Open Sans"/>
          <w:color w:val="000000"/>
          <w:kern w:val="0"/>
          <w:sz w:val="16"/>
          <w:szCs w:val="16"/>
        </w:rPr>
        <w:br/>
        <w:t xml:space="preserve">The allegations do not constitute sexual harassment as defined under the Final Rule, even if they can be proven. </w:t>
      </w:r>
      <w:r>
        <w:rPr>
          <w:rFonts w:ascii="Open Sans" w:hAnsi="Open Sans" w:cs="Open Sans"/>
          <w:color w:val="000000"/>
          <w:kern w:val="0"/>
          <w:sz w:val="16"/>
          <w:szCs w:val="16"/>
        </w:rPr>
        <w:br/>
        <w:t xml:space="preserve">The misconduct didn’t occur in the institution’s educational program or activity. </w:t>
      </w:r>
      <w:r>
        <w:rPr>
          <w:rFonts w:ascii="Open Sans" w:hAnsi="Open Sans" w:cs="Open Sans"/>
          <w:color w:val="000000"/>
          <w:kern w:val="0"/>
          <w:sz w:val="16"/>
          <w:szCs w:val="16"/>
        </w:rPr>
        <w:br/>
        <w:t xml:space="preserve">The misconduct did not occur against a person in the United States. </w:t>
      </w:r>
      <w:r>
        <w:rPr>
          <w:rFonts w:ascii="Open Sans" w:hAnsi="Open Sans" w:cs="Open Sans"/>
          <w:color w:val="000000"/>
          <w:kern w:val="0"/>
          <w:sz w:val="16"/>
          <w:szCs w:val="16"/>
        </w:rPr>
        <w:br/>
        <w:t xml:space="preserve">Important caveat: your state may have legislation that insists that misconduct in the complaint must be addressed. In that case, you can move the complaint to the appropriate process. </w:t>
      </w:r>
    </w:p>
    <w:p w14:paraId="0C1E2389" w14:textId="77777777" w:rsidR="00B603F9" w:rsidRDefault="00B603F9"/>
    <w:p w14:paraId="7B460606" w14:textId="77777777" w:rsidR="00B603F9" w:rsidRDefault="007F7387">
      <w:pPr>
        <w:pStyle w:val="Heading2"/>
      </w:pPr>
      <w:r>
        <w:lastRenderedPageBreak/>
        <w:t>1.14 Other Dismissed Complaints</w:t>
      </w:r>
    </w:p>
    <w:p w14:paraId="48620A6B" w14:textId="77777777" w:rsidR="00B603F9" w:rsidRDefault="007F7387">
      <w:r>
        <w:rPr>
          <w:noProof/>
        </w:rPr>
        <w:drawing>
          <wp:inline distT="0" distB="0" distL="0" distR="0" wp14:anchorId="3BDE1C30" wp14:editId="2E838543">
            <wp:extent cx="3705225" cy="2781300"/>
            <wp:effectExtent l="0" t="0" r="0" b="0"/>
            <wp:docPr id="14" name="Slide image" descr="A text slide titled &quot;Other Dismissed Complaints&quot; explaining conditions under which complaints may be dismissed. The slide lists three reasons in bullet points, including withdrawal of complaint in writing, respondent no longer affiliated with institution, and circumstances preventing evidence gath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A text slide titled &quot;Other Dismissed Complaints&quot; explaining conditions under which complaints may be dismissed. The slide lists three reasons in bullet points, including withdrawal of complaint in writing, respondent no longer affiliated with institution, and circumstances preventing evidence gathering"/>
                    <pic:cNvPicPr/>
                  </pic:nvPicPr>
                  <pic:blipFill>
                    <a:blip r:embed="rId20" cstate="print"/>
                    <a:stretch>
                      <a:fillRect/>
                    </a:stretch>
                  </pic:blipFill>
                  <pic:spPr>
                    <a:xfrm>
                      <a:off x="0" y="0"/>
                      <a:ext cx="3705225" cy="2781300"/>
                    </a:xfrm>
                    <a:prstGeom prst="rect">
                      <a:avLst/>
                    </a:prstGeom>
                  </pic:spPr>
                </pic:pic>
              </a:graphicData>
            </a:graphic>
          </wp:inline>
        </w:drawing>
      </w:r>
    </w:p>
    <w:p w14:paraId="7436769F" w14:textId="77777777" w:rsidR="00B603F9" w:rsidRDefault="007F7387">
      <w:r>
        <w:rPr>
          <w:b/>
        </w:rPr>
        <w:t>Notes:</w:t>
      </w:r>
    </w:p>
    <w:p w14:paraId="706A8BB1"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Complaints MAY be dismissed if: </w:t>
      </w:r>
      <w:r>
        <w:rPr>
          <w:rFonts w:ascii="Open Sans" w:hAnsi="Open Sans" w:cs="Open Sans"/>
          <w:color w:val="000000"/>
          <w:kern w:val="0"/>
          <w:sz w:val="16"/>
          <w:szCs w:val="16"/>
        </w:rPr>
        <w:br/>
        <w:t xml:space="preserve">The complainant withdraws the formal complaint or allegations, in writing. </w:t>
      </w:r>
      <w:r>
        <w:rPr>
          <w:rFonts w:ascii="Open Sans" w:hAnsi="Open Sans" w:cs="Open Sans"/>
          <w:color w:val="000000"/>
          <w:kern w:val="0"/>
          <w:sz w:val="16"/>
          <w:szCs w:val="16"/>
        </w:rPr>
        <w:br/>
        <w:t xml:space="preserve">The respondent is no longer enrolled or employed by the institution. </w:t>
      </w:r>
      <w:r>
        <w:rPr>
          <w:rFonts w:ascii="Open Sans" w:hAnsi="Open Sans" w:cs="Open Sans"/>
          <w:color w:val="000000"/>
          <w:kern w:val="0"/>
          <w:sz w:val="16"/>
          <w:szCs w:val="16"/>
        </w:rPr>
        <w:br/>
        <w:t xml:space="preserve">Specific circumstances that would prevent the institution from gathering evidence sufficient to reach a determination of any kind.  </w:t>
      </w:r>
      <w:r>
        <w:rPr>
          <w:rFonts w:ascii="Open Sans" w:hAnsi="Open Sans" w:cs="Open Sans"/>
          <w:color w:val="000000"/>
          <w:kern w:val="0"/>
          <w:sz w:val="16"/>
          <w:szCs w:val="16"/>
        </w:rPr>
        <w:br/>
        <w:t xml:space="preserve">These options are available to institutions to utilize them; however, they must be levied consistently and equitably without conflicts of interest or bias.  </w:t>
      </w:r>
    </w:p>
    <w:p w14:paraId="427DF77E" w14:textId="77777777" w:rsidR="00B603F9" w:rsidRDefault="00B603F9"/>
    <w:p w14:paraId="758C6FB7" w14:textId="77777777" w:rsidR="00B603F9" w:rsidRDefault="007F7387">
      <w:pPr>
        <w:pStyle w:val="Heading2"/>
      </w:pPr>
      <w:r>
        <w:t>1.15 Dismissal Notification</w:t>
      </w:r>
    </w:p>
    <w:p w14:paraId="27A6C29B" w14:textId="77777777" w:rsidR="00B603F9" w:rsidRDefault="007F7387">
      <w:r>
        <w:rPr>
          <w:noProof/>
        </w:rPr>
        <w:drawing>
          <wp:inline distT="0" distB="0" distL="0" distR="0" wp14:anchorId="52EC29A4" wp14:editId="2058EA2D">
            <wp:extent cx="3705225" cy="2781300"/>
            <wp:effectExtent l="0" t="0" r="0" b="0"/>
            <wp:docPr id="15" name="Slide image" descr="Photograph of a stack of colorful file folders on a wooden surface with partially visible text boxes containing information about dismissal notification procedures. The text highlights steps for notifying parties of a dismissal and considerations for filing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de image" descr="Photograph of a stack of colorful file folders on a wooden surface with partially visible text boxes containing information about dismissal notification procedures. The text highlights steps for notifying parties of a dismissal and considerations for filing complaints"/>
                    <pic:cNvPicPr/>
                  </pic:nvPicPr>
                  <pic:blipFill>
                    <a:blip r:embed="rId21" cstate="print"/>
                    <a:stretch>
                      <a:fillRect/>
                    </a:stretch>
                  </pic:blipFill>
                  <pic:spPr>
                    <a:xfrm>
                      <a:off x="0" y="0"/>
                      <a:ext cx="3705225" cy="2781300"/>
                    </a:xfrm>
                    <a:prstGeom prst="rect">
                      <a:avLst/>
                    </a:prstGeom>
                  </pic:spPr>
                </pic:pic>
              </a:graphicData>
            </a:graphic>
          </wp:inline>
        </w:drawing>
      </w:r>
    </w:p>
    <w:p w14:paraId="4384895A" w14:textId="77777777" w:rsidR="00B603F9" w:rsidRDefault="007F7387">
      <w:r>
        <w:rPr>
          <w:b/>
        </w:rPr>
        <w:lastRenderedPageBreak/>
        <w:t>Notes:</w:t>
      </w:r>
    </w:p>
    <w:p w14:paraId="5447CE1B"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If a complaint is dismissed, the institution MUST notify all parties of the decision to dismiss as well as the rationale for the determination. The decision to dismiss a complaint may be appealed and make an argument for reconsideration. </w:t>
      </w:r>
    </w:p>
    <w:p w14:paraId="61BABC2C" w14:textId="77777777" w:rsidR="00B603F9" w:rsidRDefault="00B603F9"/>
    <w:p w14:paraId="53D1C012" w14:textId="77777777" w:rsidR="00B603F9" w:rsidRDefault="007F7387">
      <w:pPr>
        <w:pStyle w:val="Heading2"/>
      </w:pPr>
      <w:r>
        <w:t>1.16 Conclusion</w:t>
      </w:r>
    </w:p>
    <w:p w14:paraId="30C25572" w14:textId="77777777" w:rsidR="00B603F9" w:rsidRDefault="007F7387">
      <w:r>
        <w:rPr>
          <w:noProof/>
        </w:rPr>
        <w:drawing>
          <wp:inline distT="0" distB="0" distL="0" distR="0" wp14:anchorId="49064800" wp14:editId="46E82A66">
            <wp:extent cx="3705225" cy="2781300"/>
            <wp:effectExtent l="0" t="0" r="0" b="0"/>
            <wp:docPr id="16" name="Slide image" descr="Slide titled &quot;Conclusion,&quot; with three text boxes summarizing this module. They are listed as &quot;What constitutes a formal complaint,&quot; &quot; who among the campus community can file a formal complaint,&quot; and &quot;what obligations that an educational institution must fulfill to comply with the Title IX Final R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 image" descr="Slide titled &quot;Conclusion,&quot; with three text boxes summarizing this module. They are listed as &quot;What constitutes a formal complaint,&quot; &quot; who among the campus community can file a formal complaint,&quot; and &quot;what obligations that an educational institution must fulfill to comply with the Title IX Final Rule"/>
                    <pic:cNvPicPr/>
                  </pic:nvPicPr>
                  <pic:blipFill>
                    <a:blip r:embed="rId22" cstate="print"/>
                    <a:stretch>
                      <a:fillRect/>
                    </a:stretch>
                  </pic:blipFill>
                  <pic:spPr>
                    <a:xfrm>
                      <a:off x="0" y="0"/>
                      <a:ext cx="3705225" cy="2781300"/>
                    </a:xfrm>
                    <a:prstGeom prst="rect">
                      <a:avLst/>
                    </a:prstGeom>
                  </pic:spPr>
                </pic:pic>
              </a:graphicData>
            </a:graphic>
          </wp:inline>
        </w:drawing>
      </w:r>
    </w:p>
    <w:p w14:paraId="2A54C743" w14:textId="77777777" w:rsidR="00B603F9" w:rsidRDefault="007F7387">
      <w:r>
        <w:rPr>
          <w:b/>
        </w:rPr>
        <w:t>Notes:</w:t>
      </w:r>
    </w:p>
    <w:p w14:paraId="7497867B"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In summary, we reviewed what constitutes a formal complaint, who among the campus community can file a formal complaint, and the obligations that an educational institution must fulfill to comply with the Title IX Final Rule.  </w:t>
      </w:r>
    </w:p>
    <w:p w14:paraId="740F2068" w14:textId="77777777" w:rsidR="00B603F9" w:rsidRDefault="00B603F9"/>
    <w:p w14:paraId="035B1C36" w14:textId="77777777" w:rsidR="00B603F9" w:rsidRDefault="007F7387">
      <w:pPr>
        <w:pStyle w:val="Heading2"/>
      </w:pPr>
      <w:r>
        <w:lastRenderedPageBreak/>
        <w:t>1.17 End of Formal Complaints</w:t>
      </w:r>
    </w:p>
    <w:p w14:paraId="595602C8" w14:textId="77777777" w:rsidR="00B603F9" w:rsidRDefault="007F7387">
      <w:r>
        <w:rPr>
          <w:noProof/>
        </w:rPr>
        <w:drawing>
          <wp:inline distT="0" distB="0" distL="0" distR="0" wp14:anchorId="11051686" wp14:editId="3686DED7">
            <wp:extent cx="3705225" cy="2781300"/>
            <wp:effectExtent l="0" t="0" r="0" b="0"/>
            <wp:docPr id="17" name="Slide image" descr="Slide titled &quot;End of Formal Complaints,&quot; with a text box that says &quot;Completed,&quot; indicating theend of module 17: Intake and Formal Compla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 image" descr="Slide titled &quot;End of Formal Complaints,&quot; with a text box that says &quot;Completed,&quot; indicating theend of module 17: Intake and Formal Complaints"/>
                    <pic:cNvPicPr/>
                  </pic:nvPicPr>
                  <pic:blipFill>
                    <a:blip r:embed="rId23" cstate="print"/>
                    <a:stretch>
                      <a:fillRect/>
                    </a:stretch>
                  </pic:blipFill>
                  <pic:spPr>
                    <a:xfrm>
                      <a:off x="0" y="0"/>
                      <a:ext cx="3705225" cy="2781300"/>
                    </a:xfrm>
                    <a:prstGeom prst="rect">
                      <a:avLst/>
                    </a:prstGeom>
                  </pic:spPr>
                </pic:pic>
              </a:graphicData>
            </a:graphic>
          </wp:inline>
        </w:drawing>
      </w:r>
    </w:p>
    <w:p w14:paraId="53B59137" w14:textId="77777777" w:rsidR="00B603F9" w:rsidRDefault="007F7387">
      <w:r>
        <w:rPr>
          <w:b/>
        </w:rPr>
        <w:t>Notes:</w:t>
      </w:r>
    </w:p>
    <w:p w14:paraId="5C081BA0" w14:textId="77777777" w:rsidR="007F7387" w:rsidRDefault="007F7387">
      <w:pPr>
        <w:widowControl w:val="0"/>
        <w:autoSpaceDE w:val="0"/>
        <w:autoSpaceDN w:val="0"/>
        <w:adjustRightInd w:val="0"/>
        <w:spacing w:after="0" w:line="240" w:lineRule="auto"/>
        <w:rPr>
          <w:rFonts w:ascii="Microsoft Sans Serif" w:hAnsi="Microsoft Sans Serif" w:cs="Microsoft Sans Serif"/>
          <w:kern w:val="0"/>
          <w:sz w:val="17"/>
          <w:szCs w:val="17"/>
        </w:rPr>
      </w:pPr>
      <w:r>
        <w:rPr>
          <w:rFonts w:ascii="Open Sans" w:hAnsi="Open Sans" w:cs="Open Sans"/>
          <w:color w:val="000000"/>
          <w:kern w:val="0"/>
          <w:sz w:val="16"/>
          <w:szCs w:val="16"/>
        </w:rPr>
        <w:t xml:space="preserve">You have reached the end of the Title IX Coordinator training by the SUNY Student Conduct Institute. Thank you very much for your participation. Select Exit Course to close the training and get credit. </w:t>
      </w:r>
    </w:p>
    <w:p w14:paraId="3E18C1AF" w14:textId="77777777" w:rsidR="00B603F9" w:rsidRDefault="00B603F9"/>
    <w:sectPr w:rsidR="00B603F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FC582" w14:textId="77777777" w:rsidR="007F7387" w:rsidRDefault="007F7387" w:rsidP="00BF48BE">
      <w:pPr>
        <w:spacing w:after="0" w:line="240" w:lineRule="auto"/>
      </w:pPr>
      <w:r>
        <w:separator/>
      </w:r>
    </w:p>
  </w:endnote>
  <w:endnote w:type="continuationSeparator" w:id="0">
    <w:p w14:paraId="6E4409D9" w14:textId="77777777" w:rsidR="007F7387" w:rsidRDefault="007F7387"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Open Sans">
    <w:panose1 w:val="00000000000000000000"/>
    <w:charset w:val="00"/>
    <w:family w:val="auto"/>
    <w:pitch w:val="variable"/>
    <w:sig w:usb0="E00002FF" w:usb1="4000201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7F7387"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162F6849" w14:textId="77777777" w:rsidR="00B603F9" w:rsidRDefault="007F7387">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E6EAB" w14:textId="77777777" w:rsidR="007F7387" w:rsidRDefault="007F7387" w:rsidP="00BF48BE">
      <w:pPr>
        <w:spacing w:after="0" w:line="240" w:lineRule="auto"/>
      </w:pPr>
      <w:r>
        <w:separator/>
      </w:r>
    </w:p>
  </w:footnote>
  <w:footnote w:type="continuationSeparator" w:id="0">
    <w:p w14:paraId="07559003" w14:textId="77777777" w:rsidR="007F7387" w:rsidRDefault="007F7387" w:rsidP="00BF48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07802D02"/>
    <w:lvl w:ilvl="0">
      <w:numFmt w:val="bullet"/>
      <w:lvlText w:val="*"/>
      <w:lvlJc w:val="left"/>
    </w:lvl>
  </w:abstractNum>
  <w:num w:numId="1" w16cid:durableId="444807552">
    <w:abstractNumId w:val="0"/>
    <w:lvlOverride w:ilvl="0">
      <w:lvl w:ilvl="0">
        <w:numFmt w:val="bullet"/>
        <w:lvlText w:val=""/>
        <w:legacy w:legacy="1" w:legacySpace="0" w:legacyIndent="14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354A7"/>
    <w:rsid w:val="00257CC5"/>
    <w:rsid w:val="002C7B1A"/>
    <w:rsid w:val="00357F02"/>
    <w:rsid w:val="00384FF6"/>
    <w:rsid w:val="00401C0A"/>
    <w:rsid w:val="004D7311"/>
    <w:rsid w:val="004F4F82"/>
    <w:rsid w:val="00536E18"/>
    <w:rsid w:val="00556B1B"/>
    <w:rsid w:val="00582193"/>
    <w:rsid w:val="005C12BE"/>
    <w:rsid w:val="00626EC1"/>
    <w:rsid w:val="00745E41"/>
    <w:rsid w:val="00763FFA"/>
    <w:rsid w:val="007F7387"/>
    <w:rsid w:val="00805E34"/>
    <w:rsid w:val="00840A50"/>
    <w:rsid w:val="008A2D3F"/>
    <w:rsid w:val="009459ED"/>
    <w:rsid w:val="00970988"/>
    <w:rsid w:val="009B3FB0"/>
    <w:rsid w:val="009C2F8E"/>
    <w:rsid w:val="00AE094E"/>
    <w:rsid w:val="00B603F9"/>
    <w:rsid w:val="00BF48BE"/>
    <w:rsid w:val="00D8333C"/>
    <w:rsid w:val="00E34F81"/>
    <w:rsid w:val="00E7115A"/>
    <w:rsid w:val="00EB52EF"/>
    <w:rsid w:val="00F44E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E8CC7BB4-C4F8-4B78-9EB7-1751CE527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bin"/><Relationship Id="rId13" Type="http://schemas.openxmlformats.org/officeDocument/2006/relationships/image" Target="media/image7.bin"/><Relationship Id="rId18" Type="http://schemas.openxmlformats.org/officeDocument/2006/relationships/image" Target="media/image12.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bin"/><Relationship Id="rId7" Type="http://schemas.openxmlformats.org/officeDocument/2006/relationships/image" Target="media/image1.bin"/><Relationship Id="rId12" Type="http://schemas.openxmlformats.org/officeDocument/2006/relationships/image" Target="media/image6.bin"/><Relationship Id="rId17" Type="http://schemas.openxmlformats.org/officeDocument/2006/relationships/image" Target="media/image11.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bin"/><Relationship Id="rId20" Type="http://schemas.openxmlformats.org/officeDocument/2006/relationships/image" Target="media/image14.bin"/><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bin"/><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bin"/><Relationship Id="rId23" Type="http://schemas.openxmlformats.org/officeDocument/2006/relationships/image" Target="media/image17.bin"/><Relationship Id="rId28" Type="http://schemas.openxmlformats.org/officeDocument/2006/relationships/customXml" Target="../customXml/item2.xml"/><Relationship Id="rId10" Type="http://schemas.openxmlformats.org/officeDocument/2006/relationships/image" Target="media/image4.bin"/><Relationship Id="rId19" Type="http://schemas.openxmlformats.org/officeDocument/2006/relationships/image" Target="media/image13.bin"/><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bin"/><Relationship Id="rId22" Type="http://schemas.openxmlformats.org/officeDocument/2006/relationships/image" Target="media/image16.bin"/><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7933ED-2046-4AA4-BAF8-CF490977D68A}"/>
</file>

<file path=customXml/itemProps2.xml><?xml version="1.0" encoding="utf-8"?>
<ds:datastoreItem xmlns:ds="http://schemas.openxmlformats.org/officeDocument/2006/customXml" ds:itemID="{9631F0AA-6F4F-4BB7-AC6D-B45D4432708B}"/>
</file>

<file path=customXml/itemProps3.xml><?xml version="1.0" encoding="utf-8"?>
<ds:datastoreItem xmlns:ds="http://schemas.openxmlformats.org/officeDocument/2006/customXml" ds:itemID="{33CD4453-D72B-41F9-AB1E-915D72E3F97E}"/>
</file>

<file path=docProps/app.xml><?xml version="1.0" encoding="utf-8"?>
<Properties xmlns="http://schemas.openxmlformats.org/officeDocument/2006/extended-properties" xmlns:vt="http://schemas.openxmlformats.org/officeDocument/2006/docPropsVTypes">
  <Template>Normal</Template>
  <TotalTime>0</TotalTime>
  <Pages>13</Pages>
  <Words>1262</Words>
  <Characters>7198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2026-05-29T14:30:00Z</dcterms:created>
  <dcterms:modified xsi:type="dcterms:W3CDTF">2026-05-29T14:30:00Z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