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7777777" w:rsidR="004D7311" w:rsidRPr="00626EC1" w:rsidRDefault="004D7311" w:rsidP="005C12BE">
      <w:pPr>
        <w:pStyle w:val="Title"/>
      </w:pPr>
      <w:r>
        <w:t>Legal Foundations for Live Hearings</w:t>
      </w:r>
    </w:p>
    <w:p w14:paraId="09D5D9C2" w14:textId="77777777" w:rsidR="006575B8" w:rsidRDefault="00630CF2">
      <w:pPr>
        <w:pStyle w:val="Heading1"/>
      </w:pPr>
      <w:r>
        <w:t>1. Draft</w:t>
      </w:r>
    </w:p>
    <w:p w14:paraId="6C0FAD62" w14:textId="77777777" w:rsidR="006575B8" w:rsidRDefault="00630CF2">
      <w:pPr>
        <w:pStyle w:val="Heading2"/>
      </w:pPr>
      <w:r>
        <w:t>1.1 Title</w:t>
      </w:r>
    </w:p>
    <w:p w14:paraId="307B7480" w14:textId="77777777" w:rsidR="006575B8" w:rsidRDefault="00630CF2">
      <w:r>
        <w:rPr>
          <w:noProof/>
        </w:rPr>
        <w:drawing>
          <wp:inline distT="0" distB="0" distL="0" distR="0" wp14:anchorId="067C1539" wp14:editId="31A79E99">
            <wp:extent cx="3705225" cy="2781300"/>
            <wp:effectExtent l="0" t="0" r="0" b="0"/>
            <wp:docPr id="1" name="Slide image" descr="Presentation slide titled &quot;Legal Foundations for Live Hearings&quot; with subtitle &quot;Training 3 of 15,&quot; featuring a dark background and a gavel image on the right. The slide indicates part of a training series focused on legal principles relevant to conducting live hea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Presentation slide titled &quot;Legal Foundations for Live Hearings&quot; with subtitle &quot;Training 3 of 15,&quot; featuring a dark background and a gavel image on the right. The slide indicates part of a training series focused on legal principles relevant to conducting live hearings"/>
                    <pic:cNvPicPr/>
                  </pic:nvPicPr>
                  <pic:blipFill>
                    <a:blip r:embed="rId6" cstate="print"/>
                    <a:stretch>
                      <a:fillRect/>
                    </a:stretch>
                  </pic:blipFill>
                  <pic:spPr>
                    <a:xfrm>
                      <a:off x="0" y="0"/>
                      <a:ext cx="3705225" cy="2781300"/>
                    </a:xfrm>
                    <a:prstGeom prst="rect">
                      <a:avLst/>
                    </a:prstGeom>
                  </pic:spPr>
                </pic:pic>
              </a:graphicData>
            </a:graphic>
          </wp:inline>
        </w:drawing>
      </w:r>
    </w:p>
    <w:p w14:paraId="0B311B8F" w14:textId="77777777" w:rsidR="006575B8" w:rsidRDefault="00630CF2">
      <w:r>
        <w:rPr>
          <w:b/>
        </w:rPr>
        <w:t>Notes:</w:t>
      </w:r>
    </w:p>
    <w:p w14:paraId="1DF6EFF1" w14:textId="77777777" w:rsidR="00630CF2" w:rsidRDefault="00630CF2">
      <w:pPr>
        <w:widowControl w:val="0"/>
        <w:autoSpaceDE w:val="0"/>
        <w:autoSpaceDN w:val="0"/>
        <w:adjustRightInd w:val="0"/>
        <w:spacing w:after="0" w:line="240" w:lineRule="auto"/>
        <w:rPr>
          <w:rFonts w:ascii="Microsoft Sans Serif" w:hAnsi="Microsoft Sans Serif" w:cs="Microsoft Sans Serif"/>
          <w:kern w:val="0"/>
          <w:sz w:val="17"/>
          <w:szCs w:val="17"/>
        </w:rPr>
      </w:pPr>
    </w:p>
    <w:p w14:paraId="65FE3A58" w14:textId="77777777" w:rsidR="006575B8" w:rsidRDefault="006575B8"/>
    <w:p w14:paraId="65113222" w14:textId="77777777" w:rsidR="006575B8" w:rsidRDefault="00630CF2">
      <w:pPr>
        <w:pStyle w:val="Heading2"/>
      </w:pPr>
      <w:r>
        <w:lastRenderedPageBreak/>
        <w:t>1.2 Disclaimer</w:t>
      </w:r>
    </w:p>
    <w:p w14:paraId="5FBD3F55" w14:textId="77777777" w:rsidR="006575B8" w:rsidRDefault="00630CF2">
      <w:r>
        <w:rPr>
          <w:noProof/>
        </w:rPr>
        <w:drawing>
          <wp:inline distT="0" distB="0" distL="0" distR="0" wp14:anchorId="6146E3AD" wp14:editId="2EC5C676">
            <wp:extent cx="3705225" cy="2781300"/>
            <wp:effectExtent l="0" t="0" r="0" b="0"/>
            <wp:docPr id="2" name="Slide image" descr="Text-based disclaimer notice from SUNY Student Conduct Institute on a dark blue background with white warning icon and bold &quot;Disclaimer&quot; heading. It explains that training materials are property of State University of New York, prohibits unauthorized sharing, clarifies content is educational not legal advice, and advises consulting an attorney for specific legal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Text-based disclaimer notice from SUNY Student Conduct Institute on a dark blue background with white warning icon and bold &quot;Disclaimer&quot; heading. It explains that training materials are property of State University of New York, prohibits unauthorized sharing, clarifies content is educational not legal advice, and advises consulting an attorney for specific legal matters"/>
                    <pic:cNvPicPr/>
                  </pic:nvPicPr>
                  <pic:blipFill>
                    <a:blip r:embed="rId7" cstate="print"/>
                    <a:stretch>
                      <a:fillRect/>
                    </a:stretch>
                  </pic:blipFill>
                  <pic:spPr>
                    <a:xfrm>
                      <a:off x="0" y="0"/>
                      <a:ext cx="3705225" cy="2781300"/>
                    </a:xfrm>
                    <a:prstGeom prst="rect">
                      <a:avLst/>
                    </a:prstGeom>
                  </pic:spPr>
                </pic:pic>
              </a:graphicData>
            </a:graphic>
          </wp:inline>
        </w:drawing>
      </w:r>
    </w:p>
    <w:p w14:paraId="7A3378D1" w14:textId="77777777" w:rsidR="006575B8" w:rsidRDefault="00630CF2">
      <w:r>
        <w:rPr>
          <w:b/>
        </w:rPr>
        <w:t>Notes:</w:t>
      </w:r>
    </w:p>
    <w:p w14:paraId="7A567144" w14:textId="77777777" w:rsidR="00630CF2" w:rsidRDefault="00630CF2">
      <w:pPr>
        <w:widowControl w:val="0"/>
        <w:autoSpaceDE w:val="0"/>
        <w:autoSpaceDN w:val="0"/>
        <w:adjustRightInd w:val="0"/>
        <w:spacing w:after="0" w:line="240" w:lineRule="auto"/>
        <w:rPr>
          <w:rFonts w:ascii="Microsoft Sans Serif" w:hAnsi="Microsoft Sans Serif" w:cs="Microsoft Sans Serif"/>
          <w:kern w:val="0"/>
          <w:sz w:val="17"/>
          <w:szCs w:val="17"/>
        </w:rPr>
      </w:pPr>
    </w:p>
    <w:p w14:paraId="614441E0" w14:textId="77777777" w:rsidR="006575B8" w:rsidRDefault="006575B8"/>
    <w:p w14:paraId="12A0181A" w14:textId="77777777" w:rsidR="006575B8" w:rsidRDefault="00630CF2">
      <w:pPr>
        <w:pStyle w:val="Heading2"/>
      </w:pPr>
      <w:r>
        <w:t>1.3 Overview</w:t>
      </w:r>
    </w:p>
    <w:p w14:paraId="22C95C3D" w14:textId="77777777" w:rsidR="006575B8" w:rsidRDefault="00630CF2">
      <w:r>
        <w:rPr>
          <w:noProof/>
        </w:rPr>
        <w:drawing>
          <wp:inline distT="0" distB="0" distL="0" distR="0" wp14:anchorId="779957FC" wp14:editId="21C21019">
            <wp:extent cx="3705225" cy="2781300"/>
            <wp:effectExtent l="0" t="0" r="0" b="0"/>
            <wp:docPr id="3" name="Slide image" descr="Presentation slide titled &quot;Overview&quot; showing three horizontal rounded rectangles labeled &quot;Decorum,&quot; &quot;Questioning,&quot; and &quot;Evidence.&quot; The middle rectangle &quot;Questioning&quot; is highlighted in blue, indicating focus or selection among the three key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Presentation slide titled &quot;Overview&quot; showing three horizontal rounded rectangles labeled &quot;Decorum,&quot; &quot;Questioning,&quot; and &quot;Evidence.&quot; The middle rectangle &quot;Questioning&quot; is highlighted in blue, indicating focus or selection among the three key topics"/>
                    <pic:cNvPicPr/>
                  </pic:nvPicPr>
                  <pic:blipFill>
                    <a:blip r:embed="rId8" cstate="print"/>
                    <a:stretch>
                      <a:fillRect/>
                    </a:stretch>
                  </pic:blipFill>
                  <pic:spPr>
                    <a:xfrm>
                      <a:off x="0" y="0"/>
                      <a:ext cx="3705225" cy="2781300"/>
                    </a:xfrm>
                    <a:prstGeom prst="rect">
                      <a:avLst/>
                    </a:prstGeom>
                  </pic:spPr>
                </pic:pic>
              </a:graphicData>
            </a:graphic>
          </wp:inline>
        </w:drawing>
      </w:r>
    </w:p>
    <w:p w14:paraId="21E44BE1" w14:textId="77777777" w:rsidR="006575B8" w:rsidRDefault="00630CF2">
      <w:pPr>
        <w:pStyle w:val="Heading2"/>
      </w:pPr>
      <w:r>
        <w:lastRenderedPageBreak/>
        <w:t>1.4 Initiating Title IX Investigations</w:t>
      </w:r>
    </w:p>
    <w:p w14:paraId="4E3FC7A9" w14:textId="77777777" w:rsidR="006575B8" w:rsidRDefault="00630CF2">
      <w:r>
        <w:rPr>
          <w:noProof/>
        </w:rPr>
        <w:drawing>
          <wp:inline distT="0" distB="0" distL="0" distR="0" wp14:anchorId="50D14D37" wp14:editId="1D5E7068">
            <wp:extent cx="3705225" cy="2781300"/>
            <wp:effectExtent l="0" t="0" r="0" b="0"/>
            <wp:docPr id="4" name="Slide image" descr="Diagram illustrating criteria for initiating Title IX investigations with three colored sections: a blue box indicating current participation in education programs or activities, a green box for attempting participation, and an orange box referencing the Title IX Coordinator. Each section includes a corresponding icon and is layered over a background of courthouse steps, emphasizing legal and procedur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Diagram illustrating criteria for initiating Title IX investigations with three colored sections: a blue box indicating current participation in education programs or activities, a green box for attempting participation, and an orange box referencing the Title IX Coordinator. Each section includes a corresponding icon and is layered over a background of courthouse steps, emphasizing legal and procedural context"/>
                    <pic:cNvPicPr/>
                  </pic:nvPicPr>
                  <pic:blipFill>
                    <a:blip r:embed="rId9" cstate="print"/>
                    <a:stretch>
                      <a:fillRect/>
                    </a:stretch>
                  </pic:blipFill>
                  <pic:spPr>
                    <a:xfrm>
                      <a:off x="0" y="0"/>
                      <a:ext cx="3705225" cy="2781300"/>
                    </a:xfrm>
                    <a:prstGeom prst="rect">
                      <a:avLst/>
                    </a:prstGeom>
                  </pic:spPr>
                </pic:pic>
              </a:graphicData>
            </a:graphic>
          </wp:inline>
        </w:drawing>
      </w:r>
    </w:p>
    <w:p w14:paraId="7FDB7ED3" w14:textId="77777777" w:rsidR="006575B8" w:rsidRDefault="00630CF2">
      <w:pPr>
        <w:pStyle w:val="Heading2"/>
      </w:pPr>
      <w:r>
        <w:t>1.5 What is a Formal Complaint?</w:t>
      </w:r>
    </w:p>
    <w:p w14:paraId="229D5C17" w14:textId="77777777" w:rsidR="006575B8" w:rsidRDefault="00630CF2">
      <w:r>
        <w:rPr>
          <w:noProof/>
        </w:rPr>
        <w:drawing>
          <wp:inline distT="0" distB="0" distL="0" distR="0" wp14:anchorId="088C1BC3" wp14:editId="306D4FBD">
            <wp:extent cx="3705225" cy="2781300"/>
            <wp:effectExtent l="0" t="0" r="0" b="0"/>
            <wp:docPr id="5" name="Slide image" descr="Infographic explaining legal foundations for live hearings with two sections: &quot;What is a Formal Complaint?&quot; and &quot;What Makes Title IX Cases Unique?&quot; Each section details formal complaint requirements and distinctions of Title IX cases, such as non-criminal nature and hearing officer 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Infographic explaining legal foundations for live hearings with two sections: &quot;What is a Formal Complaint?&quot; and &quot;What Makes Title IX Cases Unique?&quot; Each section details formal complaint requirements and distinctions of Title IX cases, such as non-criminal nature and hearing officer decisions"/>
                    <pic:cNvPicPr/>
                  </pic:nvPicPr>
                  <pic:blipFill>
                    <a:blip r:embed="rId10" cstate="print"/>
                    <a:stretch>
                      <a:fillRect/>
                    </a:stretch>
                  </pic:blipFill>
                  <pic:spPr>
                    <a:xfrm>
                      <a:off x="0" y="0"/>
                      <a:ext cx="3705225" cy="2781300"/>
                    </a:xfrm>
                    <a:prstGeom prst="rect">
                      <a:avLst/>
                    </a:prstGeom>
                  </pic:spPr>
                </pic:pic>
              </a:graphicData>
            </a:graphic>
          </wp:inline>
        </w:drawing>
      </w:r>
    </w:p>
    <w:p w14:paraId="09E2A684" w14:textId="77777777" w:rsidR="006575B8" w:rsidRDefault="00630CF2">
      <w:pPr>
        <w:pStyle w:val="Heading2"/>
      </w:pPr>
      <w:r>
        <w:lastRenderedPageBreak/>
        <w:t>1.6 Impartial Title IX Grievance Procedure</w:t>
      </w:r>
    </w:p>
    <w:p w14:paraId="571AC65B" w14:textId="77777777" w:rsidR="006575B8" w:rsidRDefault="00630CF2">
      <w:r>
        <w:rPr>
          <w:noProof/>
        </w:rPr>
        <w:drawing>
          <wp:inline distT="0" distB="0" distL="0" distR="0" wp14:anchorId="0211C715" wp14:editId="07FE1A1F">
            <wp:extent cx="3705225" cy="2781300"/>
            <wp:effectExtent l="0" t="0" r="0" b="0"/>
            <wp:docPr id="6" name="Slide image" descr="Diagram titled &quot;Impartial Title IX Grievance Procedure&quot; illustrating six key components arranged around a central photo of a gavel and person writing. Components include two orange boxes labeled &quot;Live Hearing Required&quot; and &quot;Real-time Interaction,&quot; and four dark blue boxes labeled &quot;Trauma-informed Practice,&quot; &quot;Decision-maker's Role,&quot; &quot;No Adverse Inference Rule,&quot; and &quot;Advisor-only Cross-examin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Diagram titled &quot;Impartial Title IX Grievance Procedure&quot; illustrating six key components arranged around a central photo of a gavel and person writing. Components include two orange boxes labeled &quot;Live Hearing Required&quot; and &quot;Real-time Interaction,&quot; and four dark blue boxes labeled &quot;Trauma-informed Practice,&quot; &quot;Decision-maker's Role,&quot; &quot;No Adverse Inference Rule,&quot; and &quot;Advisor-only Cross-examination.&quot;"/>
                    <pic:cNvPicPr/>
                  </pic:nvPicPr>
                  <pic:blipFill>
                    <a:blip r:embed="rId11" cstate="print"/>
                    <a:stretch>
                      <a:fillRect/>
                    </a:stretch>
                  </pic:blipFill>
                  <pic:spPr>
                    <a:xfrm>
                      <a:off x="0" y="0"/>
                      <a:ext cx="3705225" cy="2781300"/>
                    </a:xfrm>
                    <a:prstGeom prst="rect">
                      <a:avLst/>
                    </a:prstGeom>
                  </pic:spPr>
                </pic:pic>
              </a:graphicData>
            </a:graphic>
          </wp:inline>
        </w:drawing>
      </w:r>
    </w:p>
    <w:p w14:paraId="393877F0" w14:textId="77777777" w:rsidR="006575B8" w:rsidRDefault="00630CF2">
      <w:r>
        <w:rPr>
          <w:b/>
        </w:rPr>
        <w:t>Notes:</w:t>
      </w:r>
    </w:p>
    <w:p w14:paraId="6B7880AD" w14:textId="77777777" w:rsidR="00630CF2" w:rsidRDefault="00630CF2">
      <w:pPr>
        <w:widowControl w:val="0"/>
        <w:autoSpaceDE w:val="0"/>
        <w:autoSpaceDN w:val="0"/>
        <w:adjustRightInd w:val="0"/>
        <w:spacing w:after="0" w:line="240" w:lineRule="auto"/>
        <w:rPr>
          <w:rFonts w:ascii="Microsoft Sans Serif" w:hAnsi="Microsoft Sans Serif" w:cs="Microsoft Sans Serif"/>
          <w:kern w:val="0"/>
          <w:sz w:val="17"/>
          <w:szCs w:val="17"/>
        </w:rPr>
      </w:pPr>
    </w:p>
    <w:p w14:paraId="08ED4DA9" w14:textId="77777777" w:rsidR="006575B8" w:rsidRDefault="006575B8"/>
    <w:p w14:paraId="12C8F396" w14:textId="77777777" w:rsidR="006575B8" w:rsidRDefault="00630CF2">
      <w:pPr>
        <w:pStyle w:val="Heading2"/>
      </w:pPr>
      <w:r>
        <w:t>1.7 Rules of Decorum</w:t>
      </w:r>
    </w:p>
    <w:p w14:paraId="423574E5" w14:textId="77777777" w:rsidR="006575B8" w:rsidRDefault="00630CF2">
      <w:r>
        <w:rPr>
          <w:noProof/>
        </w:rPr>
        <w:drawing>
          <wp:inline distT="0" distB="0" distL="0" distR="0" wp14:anchorId="7F0F2FCA" wp14:editId="5DE4FDBD">
            <wp:extent cx="3705225" cy="2781300"/>
            <wp:effectExtent l="0" t="0" r="0" b="0"/>
            <wp:docPr id="7" name="Slide image" descr="Diagram illustrating rules of decorum, explaining that it's up to colleges and universities to craft rules and hearing processes should reassure all pa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Diagram illustrating rules of decorum, explaining that it's up to colleges and universities to craft rules and hearing processes should reassure all parties"/>
                    <pic:cNvPicPr/>
                  </pic:nvPicPr>
                  <pic:blipFill>
                    <a:blip r:embed="rId12" cstate="print"/>
                    <a:stretch>
                      <a:fillRect/>
                    </a:stretch>
                  </pic:blipFill>
                  <pic:spPr>
                    <a:xfrm>
                      <a:off x="0" y="0"/>
                      <a:ext cx="3705225" cy="2781300"/>
                    </a:xfrm>
                    <a:prstGeom prst="rect">
                      <a:avLst/>
                    </a:prstGeom>
                  </pic:spPr>
                </pic:pic>
              </a:graphicData>
            </a:graphic>
          </wp:inline>
        </w:drawing>
      </w:r>
    </w:p>
    <w:p w14:paraId="17D23FE6" w14:textId="77777777" w:rsidR="006575B8" w:rsidRDefault="00630CF2">
      <w:pPr>
        <w:pStyle w:val="Heading2"/>
      </w:pPr>
      <w:r>
        <w:lastRenderedPageBreak/>
        <w:t>1.8 Rules of Decorum</w:t>
      </w:r>
    </w:p>
    <w:p w14:paraId="77EA11B3" w14:textId="77777777" w:rsidR="006575B8" w:rsidRDefault="00630CF2">
      <w:r>
        <w:rPr>
          <w:noProof/>
        </w:rPr>
        <w:drawing>
          <wp:inline distT="0" distB="0" distL="0" distR="0" wp14:anchorId="04A95D50" wp14:editId="275E9627">
            <wp:extent cx="3705225" cy="2781300"/>
            <wp:effectExtent l="0" t="0" r="0" b="0"/>
            <wp:docPr id="8" name="Slide image" descr="Presentation slide titles &quot;Rules of Decorum&quot; listing guidelines for respectful behavior during hearings. The list includes rules such as asking questions respectfully, avoiding irrelevant or abusive questions, not denigrating witnesses, and removing participants who violate dec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Presentation slide titles &quot;Rules of Decorum&quot; listing guidelines for respectful behavior during hearings. The list includes rules such as asking questions respectfully, avoiding irrelevant or abusive questions, not denigrating witnesses, and removing participants who violate decorum"/>
                    <pic:cNvPicPr/>
                  </pic:nvPicPr>
                  <pic:blipFill>
                    <a:blip r:embed="rId13" cstate="print"/>
                    <a:stretch>
                      <a:fillRect/>
                    </a:stretch>
                  </pic:blipFill>
                  <pic:spPr>
                    <a:xfrm>
                      <a:off x="0" y="0"/>
                      <a:ext cx="3705225" cy="2781300"/>
                    </a:xfrm>
                    <a:prstGeom prst="rect">
                      <a:avLst/>
                    </a:prstGeom>
                  </pic:spPr>
                </pic:pic>
              </a:graphicData>
            </a:graphic>
          </wp:inline>
        </w:drawing>
      </w:r>
    </w:p>
    <w:p w14:paraId="69B5F43D" w14:textId="77777777" w:rsidR="006575B8" w:rsidRDefault="00630CF2">
      <w:pPr>
        <w:pStyle w:val="Heading2"/>
      </w:pPr>
      <w:r>
        <w:t>1.9 Relevant Questions</w:t>
      </w:r>
    </w:p>
    <w:p w14:paraId="0467BDE0" w14:textId="77777777" w:rsidR="006575B8" w:rsidRDefault="00630CF2">
      <w:r>
        <w:rPr>
          <w:noProof/>
        </w:rPr>
        <w:drawing>
          <wp:inline distT="0" distB="0" distL="0" distR="0" wp14:anchorId="706D7317" wp14:editId="64E48535">
            <wp:extent cx="3705225" cy="2781300"/>
            <wp:effectExtent l="0" t="0" r="0" b="0"/>
            <wp:docPr id="9" name="Slide image" descr="Diagram titled &quot;Relevant Questions&quot; explaining characteristics of relevant questions with four boxes labeled &quot;Focus on the Facts,&quot; &quot;Avoid Bias,&quot; &quot;Stay on Topic,&quot; and &quot;Review Each Question.&quot; The central box asks &quot;What is a Relevant Question?&quot; highlighting key criteria for evaluating question rele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Diagram titled &quot;Relevant Questions&quot; explaining characteristics of relevant questions with four boxes labeled &quot;Focus on the Facts,&quot; &quot;Avoid Bias,&quot; &quot;Stay on Topic,&quot; and &quot;Review Each Question.&quot; The central box asks &quot;What is a Relevant Question?&quot; highlighting key criteria for evaluating question relevance"/>
                    <pic:cNvPicPr/>
                  </pic:nvPicPr>
                  <pic:blipFill>
                    <a:blip r:embed="rId14" cstate="print"/>
                    <a:stretch>
                      <a:fillRect/>
                    </a:stretch>
                  </pic:blipFill>
                  <pic:spPr>
                    <a:xfrm>
                      <a:off x="0" y="0"/>
                      <a:ext cx="3705225" cy="2781300"/>
                    </a:xfrm>
                    <a:prstGeom prst="rect">
                      <a:avLst/>
                    </a:prstGeom>
                  </pic:spPr>
                </pic:pic>
              </a:graphicData>
            </a:graphic>
          </wp:inline>
        </w:drawing>
      </w:r>
    </w:p>
    <w:p w14:paraId="1AEBFB91" w14:textId="77777777" w:rsidR="006575B8" w:rsidRDefault="00630CF2">
      <w:pPr>
        <w:pStyle w:val="Heading2"/>
      </w:pPr>
      <w:r>
        <w:lastRenderedPageBreak/>
        <w:t>1.10 Standards of Proof in Title IX Cases</w:t>
      </w:r>
    </w:p>
    <w:p w14:paraId="6A1E9E33" w14:textId="77777777" w:rsidR="006575B8" w:rsidRDefault="00630CF2">
      <w:r>
        <w:rPr>
          <w:noProof/>
        </w:rPr>
        <w:drawing>
          <wp:inline distT="0" distB="0" distL="0" distR="0" wp14:anchorId="31E53FEE" wp14:editId="4218FC52">
            <wp:extent cx="3705225" cy="2781300"/>
            <wp:effectExtent l="0" t="0" r="0" b="0"/>
            <wp:docPr id="10" name="Slide image" descr="Diagram comparing two standards of proof in Title IX cases, titled &quot;Standards of Proof in Title IX Cases.&quot; It contrasts &quot;Preponderance of Evidence&quot; (more likely than not, at least 51% certain, commonly used in schools) with &quot;Clear and Convincing Evidence&quot; (highly probable, higher standard, requires strong belief but not beyond reasonable dou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 image" descr="Diagram comparing two standards of proof in Title IX cases, titled &quot;Standards of Proof in Title IX Cases.&quot; It contrasts &quot;Preponderance of Evidence&quot; (more likely than not, at least 51% certain, commonly used in schools) with &quot;Clear and Convincing Evidence&quot; (highly probable, higher standard, requires strong belief but not beyond reasonable doubt)"/>
                    <pic:cNvPicPr/>
                  </pic:nvPicPr>
                  <pic:blipFill>
                    <a:blip r:embed="rId15" cstate="print"/>
                    <a:stretch>
                      <a:fillRect/>
                    </a:stretch>
                  </pic:blipFill>
                  <pic:spPr>
                    <a:xfrm>
                      <a:off x="0" y="0"/>
                      <a:ext cx="3705225" cy="2781300"/>
                    </a:xfrm>
                    <a:prstGeom prst="rect">
                      <a:avLst/>
                    </a:prstGeom>
                  </pic:spPr>
                </pic:pic>
              </a:graphicData>
            </a:graphic>
          </wp:inline>
        </w:drawing>
      </w:r>
    </w:p>
    <w:p w14:paraId="33A7F108" w14:textId="77777777" w:rsidR="006575B8" w:rsidRDefault="00630CF2">
      <w:pPr>
        <w:pStyle w:val="Heading2"/>
      </w:pPr>
      <w:r>
        <w:t>1.11 Exclusions from Evidence</w:t>
      </w:r>
    </w:p>
    <w:p w14:paraId="4CD685F7" w14:textId="77777777" w:rsidR="006575B8" w:rsidRDefault="00630CF2">
      <w:r>
        <w:rPr>
          <w:noProof/>
        </w:rPr>
        <w:drawing>
          <wp:inline distT="0" distB="0" distL="0" distR="0" wp14:anchorId="42D249A1" wp14:editId="4608FEE0">
            <wp:extent cx="3705225" cy="2781300"/>
            <wp:effectExtent l="0" t="0" r="0" b="0"/>
            <wp:docPr id="11" name="Slide image" descr="A table titled &quot;Exclusions from Evidence&quot; categorizes three types of evidence exclusions: Rape Shield Protections, Privileged Information, and Duplicate Questions, each with bullet points explaining specific rules or exceptions. The table separates categories and highlight key legal principles regarding evidence admi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image" descr="A table titled &quot;Exclusions from Evidence&quot; categorizes three types of evidence exclusions: Rape Shield Protections, Privileged Information, and Duplicate Questions, each with bullet points explaining specific rules or exceptions. The table separates categories and highlight key legal principles regarding evidence admissibility"/>
                    <pic:cNvPicPr/>
                  </pic:nvPicPr>
                  <pic:blipFill>
                    <a:blip r:embed="rId16" cstate="print"/>
                    <a:stretch>
                      <a:fillRect/>
                    </a:stretch>
                  </pic:blipFill>
                  <pic:spPr>
                    <a:xfrm>
                      <a:off x="0" y="0"/>
                      <a:ext cx="3705225" cy="2781300"/>
                    </a:xfrm>
                    <a:prstGeom prst="rect">
                      <a:avLst/>
                    </a:prstGeom>
                  </pic:spPr>
                </pic:pic>
              </a:graphicData>
            </a:graphic>
          </wp:inline>
        </w:drawing>
      </w:r>
    </w:p>
    <w:p w14:paraId="5CDE2833" w14:textId="77777777" w:rsidR="006575B8" w:rsidRDefault="00630CF2">
      <w:pPr>
        <w:pStyle w:val="Heading2"/>
      </w:pPr>
      <w:r>
        <w:t>1.12 Knowledge Check</w:t>
      </w:r>
    </w:p>
    <w:p w14:paraId="51B913B4" w14:textId="77777777" w:rsidR="006575B8" w:rsidRDefault="00630CF2">
      <w:r>
        <w:rPr>
          <w:i/>
        </w:rPr>
        <w:t>(Multiple Response, 10 points, 1 attempt permitted)</w:t>
      </w:r>
    </w:p>
    <w:p w14:paraId="4435BECD" w14:textId="77777777" w:rsidR="006575B8" w:rsidRDefault="00630CF2">
      <w:r>
        <w:rPr>
          <w:noProof/>
        </w:rPr>
        <w:lastRenderedPageBreak/>
        <w:drawing>
          <wp:inline distT="0" distB="0" distL="0" distR="0" wp14:anchorId="185F79DC" wp14:editId="6103E2D4">
            <wp:extent cx="3705225" cy="2781300"/>
            <wp:effectExtent l="0" t="0" r="0" b="0"/>
            <wp:docPr id="12" name="Slide image" descr="Screenshot of a knowledge check quiz question asking which actions a school should take to ensure a Title IX hearing remains impartial and legally sound. The question includes five multiple-choice options with three checked answers: setting clear rules of decorum, following Department of Education guidelines for relevance, and carefully considering evidence presented, alongside a &quot;Submit&quot; butt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 image" descr="Screenshot of a knowledge check quiz question asking which actions a school should take to ensure a Title IX hearing remains impartial and legally sound. The question includes five multiple-choice options with three checked answers: setting clear rules of decorum, following Department of Education guidelines for relevance, and carefully considering evidence presented, alongside a &quot;Submit&quot; button below"/>
                    <pic:cNvPicPr/>
                  </pic:nvPicPr>
                  <pic:blipFill>
                    <a:blip r:embed="rId17" cstate="print"/>
                    <a:stretch>
                      <a:fillRect/>
                    </a:stretch>
                  </pic:blipFill>
                  <pic:spPr>
                    <a:xfrm>
                      <a:off x="0" y="0"/>
                      <a:ext cx="3705225" cy="2781300"/>
                    </a:xfrm>
                    <a:prstGeom prst="rect">
                      <a:avLst/>
                    </a:prstGeom>
                  </pic:spPr>
                </pic:pic>
              </a:graphicData>
            </a:graphic>
          </wp:inline>
        </w:drawing>
      </w:r>
    </w:p>
    <w:tbl>
      <w:tblPr>
        <w:tblW w:w="5000" w:type="pct"/>
        <w:tblBorders>
          <w:top w:val="single" w:sz="12" w:space="0" w:color="AEAAAA"/>
          <w:left w:val="single" w:sz="12" w:space="0" w:color="AEAAAA"/>
          <w:bottom w:val="single" w:sz="12" w:space="0" w:color="AEAAAA"/>
          <w:right w:val="single" w:sz="12" w:space="0" w:color="AEAAAA"/>
          <w:insideH w:val="single" w:sz="8" w:space="0" w:color="AEAAAA"/>
        </w:tblBorders>
        <w:tblCellMar>
          <w:top w:w="72" w:type="dxa"/>
          <w:left w:w="72" w:type="dxa"/>
          <w:right w:w="72" w:type="dxa"/>
        </w:tblCellMar>
        <w:tblLook w:val="04A0" w:firstRow="1" w:lastRow="0" w:firstColumn="1" w:lastColumn="0" w:noHBand="0" w:noVBand="1"/>
      </w:tblPr>
      <w:tblGrid>
        <w:gridCol w:w="1316"/>
        <w:gridCol w:w="8014"/>
      </w:tblGrid>
      <w:tr w:rsidR="006575B8" w14:paraId="3088131F" w14:textId="77777777">
        <w:trPr>
          <w:cantSplit/>
          <w:tblHeader/>
        </w:trPr>
        <w:tc>
          <w:tcPr>
            <w:tcW w:w="0" w:type="auto"/>
            <w:shd w:val="clear" w:color="auto" w:fill="F2F2F2"/>
          </w:tcPr>
          <w:p w14:paraId="5CE59337" w14:textId="77777777" w:rsidR="006575B8" w:rsidRDefault="00630CF2">
            <w:pPr>
              <w:pStyle w:val="Heading3"/>
            </w:pPr>
            <w:r>
              <w:t>Correct</w:t>
            </w:r>
          </w:p>
        </w:tc>
        <w:tc>
          <w:tcPr>
            <w:tcW w:w="6" w:type="auto"/>
            <w:shd w:val="clear" w:color="auto" w:fill="F2F2F2"/>
          </w:tcPr>
          <w:p w14:paraId="6E4D8F87" w14:textId="77777777" w:rsidR="006575B8" w:rsidRDefault="00630CF2">
            <w:pPr>
              <w:pStyle w:val="Heading3"/>
            </w:pPr>
            <w:r>
              <w:t>Choice</w:t>
            </w:r>
          </w:p>
        </w:tc>
      </w:tr>
      <w:tr w:rsidR="006575B8" w14:paraId="03415B53" w14:textId="77777777">
        <w:tc>
          <w:tcPr>
            <w:tcW w:w="0" w:type="auto"/>
          </w:tcPr>
          <w:p w14:paraId="6F526772" w14:textId="77777777" w:rsidR="006575B8" w:rsidRDefault="006575B8"/>
        </w:tc>
        <w:tc>
          <w:tcPr>
            <w:tcW w:w="0" w:type="auto"/>
          </w:tcPr>
          <w:p w14:paraId="475782CA" w14:textId="77777777" w:rsidR="006575B8" w:rsidRDefault="00630CF2">
            <w:r>
              <w:t>Allow open-ended questions without moderation</w:t>
            </w:r>
          </w:p>
        </w:tc>
      </w:tr>
      <w:tr w:rsidR="006575B8" w14:paraId="067C5E66" w14:textId="77777777">
        <w:tc>
          <w:tcPr>
            <w:tcW w:w="0" w:type="auto"/>
          </w:tcPr>
          <w:p w14:paraId="7D592DC1" w14:textId="77777777" w:rsidR="006575B8" w:rsidRDefault="00630CF2">
            <w:r>
              <w:t>X</w:t>
            </w:r>
          </w:p>
        </w:tc>
        <w:tc>
          <w:tcPr>
            <w:tcW w:w="0" w:type="auto"/>
          </w:tcPr>
          <w:p w14:paraId="613D4491" w14:textId="77777777" w:rsidR="006575B8" w:rsidRDefault="00630CF2">
            <w:r>
              <w:t>Set clear rules of decorum</w:t>
            </w:r>
          </w:p>
        </w:tc>
      </w:tr>
      <w:tr w:rsidR="006575B8" w14:paraId="47194176" w14:textId="77777777">
        <w:tc>
          <w:tcPr>
            <w:tcW w:w="0" w:type="auto"/>
          </w:tcPr>
          <w:p w14:paraId="6C3E1BDC" w14:textId="77777777" w:rsidR="006575B8" w:rsidRDefault="00630CF2">
            <w:r>
              <w:t>X</w:t>
            </w:r>
          </w:p>
        </w:tc>
        <w:tc>
          <w:tcPr>
            <w:tcW w:w="0" w:type="auto"/>
          </w:tcPr>
          <w:p w14:paraId="25BFB897" w14:textId="77777777" w:rsidR="006575B8" w:rsidRDefault="00630CF2">
            <w:r>
              <w:t>Follow the Department of Education’s guidelines for relevance</w:t>
            </w:r>
          </w:p>
        </w:tc>
      </w:tr>
      <w:tr w:rsidR="006575B8" w14:paraId="0C6CDA72" w14:textId="77777777">
        <w:tc>
          <w:tcPr>
            <w:tcW w:w="0" w:type="auto"/>
          </w:tcPr>
          <w:p w14:paraId="2EF12615" w14:textId="77777777" w:rsidR="006575B8" w:rsidRDefault="00630CF2">
            <w:r>
              <w:t>X</w:t>
            </w:r>
          </w:p>
        </w:tc>
        <w:tc>
          <w:tcPr>
            <w:tcW w:w="0" w:type="auto"/>
          </w:tcPr>
          <w:p w14:paraId="744EC1C7" w14:textId="77777777" w:rsidR="006575B8" w:rsidRDefault="00630CF2">
            <w:r>
              <w:t>Carefully consider the evidence presented</w:t>
            </w:r>
          </w:p>
        </w:tc>
      </w:tr>
      <w:tr w:rsidR="006575B8" w14:paraId="46DEEBE2" w14:textId="77777777">
        <w:tc>
          <w:tcPr>
            <w:tcW w:w="0" w:type="auto"/>
          </w:tcPr>
          <w:p w14:paraId="4704F14D" w14:textId="77777777" w:rsidR="006575B8" w:rsidRDefault="006575B8"/>
        </w:tc>
        <w:tc>
          <w:tcPr>
            <w:tcW w:w="0" w:type="auto"/>
          </w:tcPr>
          <w:p w14:paraId="23A9DF0E" w14:textId="77777777" w:rsidR="006575B8" w:rsidRDefault="00630CF2">
            <w:r>
              <w:t>Accept all statements and questions without review</w:t>
            </w:r>
          </w:p>
        </w:tc>
      </w:tr>
    </w:tbl>
    <w:p w14:paraId="710C2819" w14:textId="77777777" w:rsidR="006575B8" w:rsidRDefault="006575B8"/>
    <w:p w14:paraId="7A6B2F9B" w14:textId="77777777" w:rsidR="006575B8" w:rsidRDefault="00630CF2">
      <w:r>
        <w:rPr>
          <w:b/>
        </w:rPr>
        <w:t>Feedback when correct:</w:t>
      </w:r>
    </w:p>
    <w:p w14:paraId="7D0E3621" w14:textId="77777777" w:rsidR="006575B8" w:rsidRDefault="00630CF2">
      <w:r>
        <w:t>Great work!</w:t>
      </w:r>
    </w:p>
    <w:p w14:paraId="253F94B0" w14:textId="77777777" w:rsidR="006575B8" w:rsidRDefault="00630CF2">
      <w:r>
        <w:rPr>
          <w:b/>
        </w:rPr>
        <w:t>Feedback when incorrect:</w:t>
      </w:r>
    </w:p>
    <w:p w14:paraId="1337F1CB" w14:textId="77777777" w:rsidR="006575B8" w:rsidRDefault="00630CF2">
      <w:r>
        <w:t>Not quite. Review the guidelines and think about what supports fairness and legality.</w:t>
      </w:r>
    </w:p>
    <w:p w14:paraId="6443A1A8" w14:textId="77777777" w:rsidR="006575B8" w:rsidRDefault="006575B8"/>
    <w:p w14:paraId="119D8A9E" w14:textId="77777777" w:rsidR="006575B8" w:rsidRDefault="00630CF2">
      <w:pPr>
        <w:pStyle w:val="Heading2"/>
      </w:pPr>
      <w:r>
        <w:lastRenderedPageBreak/>
        <w:t>1.13 Assessing Credibility of Evidence</w:t>
      </w:r>
    </w:p>
    <w:p w14:paraId="63DB880B" w14:textId="77777777" w:rsidR="006575B8" w:rsidRDefault="00630CF2">
      <w:r>
        <w:rPr>
          <w:noProof/>
        </w:rPr>
        <w:drawing>
          <wp:inline distT="0" distB="0" distL="0" distR="0" wp14:anchorId="21D2B4A1" wp14:editId="49BFAAB5">
            <wp:extent cx="3705225" cy="2781300"/>
            <wp:effectExtent l="0" t="0" r="0" b="0"/>
            <wp:docPr id="13" name="Slide image" descr="Diagram titled &quot;Assessing Credibility of Evidence&quot; illustrating three key factors: Objective Evaluation with a checklist on consistency and corroboration, Contradictions  highlighting contradictory testimony, and Evidence Destruction with a warning noting evidence destroyed by party. Each factor is presented in boxes emphasizing steps for evaluating evidence reli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 image" descr="Diagram titled &quot;Assessing Credibility of Evidence&quot; illustrating three key factors: Objective Evaluation with a checklist on consistency and corroboration, Contradictions  highlighting contradictory testimony, and Evidence Destruction with a warning noting evidence destroyed by party. Each factor is presented in boxes emphasizing steps for evaluating evidence reliability"/>
                    <pic:cNvPicPr/>
                  </pic:nvPicPr>
                  <pic:blipFill>
                    <a:blip r:embed="rId18" cstate="print"/>
                    <a:stretch>
                      <a:fillRect/>
                    </a:stretch>
                  </pic:blipFill>
                  <pic:spPr>
                    <a:xfrm>
                      <a:off x="0" y="0"/>
                      <a:ext cx="3705225" cy="2781300"/>
                    </a:xfrm>
                    <a:prstGeom prst="rect">
                      <a:avLst/>
                    </a:prstGeom>
                  </pic:spPr>
                </pic:pic>
              </a:graphicData>
            </a:graphic>
          </wp:inline>
        </w:drawing>
      </w:r>
    </w:p>
    <w:p w14:paraId="77FEF41F" w14:textId="77777777" w:rsidR="006575B8" w:rsidRDefault="00630CF2">
      <w:pPr>
        <w:pStyle w:val="Heading2"/>
      </w:pPr>
      <w:r>
        <w:t>1.14 Objective vs. Subjective Testimony</w:t>
      </w:r>
    </w:p>
    <w:p w14:paraId="0AE83935" w14:textId="77777777" w:rsidR="006575B8" w:rsidRDefault="00630CF2">
      <w:r>
        <w:rPr>
          <w:noProof/>
        </w:rPr>
        <w:drawing>
          <wp:inline distT="0" distB="0" distL="0" distR="0" wp14:anchorId="2B6857CF" wp14:editId="32B1AB1E">
            <wp:extent cx="3705225" cy="2781300"/>
            <wp:effectExtent l="0" t="0" r="0" b="0"/>
            <wp:docPr id="14" name="Slide image" descr="A comparison chart contrasting expert witness testimony and subjective evidence with bullet points highlighting objectivity, expertise, observer dependence, and factors like demeanor and re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 image" descr="A comparison chart contrasting expert witness testimony and subjective evidence with bullet points highlighting objectivity, expertise, observer dependence, and factors like demeanor and recall"/>
                    <pic:cNvPicPr/>
                  </pic:nvPicPr>
                  <pic:blipFill>
                    <a:blip r:embed="rId19" cstate="print"/>
                    <a:stretch>
                      <a:fillRect/>
                    </a:stretch>
                  </pic:blipFill>
                  <pic:spPr>
                    <a:xfrm>
                      <a:off x="0" y="0"/>
                      <a:ext cx="3705225" cy="2781300"/>
                    </a:xfrm>
                    <a:prstGeom prst="rect">
                      <a:avLst/>
                    </a:prstGeom>
                  </pic:spPr>
                </pic:pic>
              </a:graphicData>
            </a:graphic>
          </wp:inline>
        </w:drawing>
      </w:r>
    </w:p>
    <w:p w14:paraId="09E7681F" w14:textId="77777777" w:rsidR="006575B8" w:rsidRDefault="00630CF2">
      <w:pPr>
        <w:pStyle w:val="Heading2"/>
      </w:pPr>
      <w:r>
        <w:lastRenderedPageBreak/>
        <w:t>1.15 Conclusion</w:t>
      </w:r>
    </w:p>
    <w:p w14:paraId="0D9213C7" w14:textId="77777777" w:rsidR="006575B8" w:rsidRDefault="00630CF2">
      <w:r>
        <w:rPr>
          <w:noProof/>
        </w:rPr>
        <w:drawing>
          <wp:inline distT="0" distB="0" distL="0" distR="0" wp14:anchorId="5CFD7970" wp14:editId="3264C6F7">
            <wp:extent cx="3705225" cy="2781300"/>
            <wp:effectExtent l="0" t="0" r="0" b="0"/>
            <wp:docPr id="15" name="Slide image" descr="Presentation slide titled &quot;Conclusion&quot; with a text box that lists three recommendations for schools: setting rules for decorum, following Department of Education guidelines on question relevance, and carefully considering evidence in Title IX hea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 image" descr="Presentation slide titled &quot;Conclusion&quot; with a text box that lists three recommendations for schools: setting rules for decorum, following Department of Education guidelines on question relevance, and carefully considering evidence in Title IX hearings"/>
                    <pic:cNvPicPr/>
                  </pic:nvPicPr>
                  <pic:blipFill>
                    <a:blip r:embed="rId20" cstate="print"/>
                    <a:stretch>
                      <a:fillRect/>
                    </a:stretch>
                  </pic:blipFill>
                  <pic:spPr>
                    <a:xfrm>
                      <a:off x="0" y="0"/>
                      <a:ext cx="3705225" cy="2781300"/>
                    </a:xfrm>
                    <a:prstGeom prst="rect">
                      <a:avLst/>
                    </a:prstGeom>
                  </pic:spPr>
                </pic:pic>
              </a:graphicData>
            </a:graphic>
          </wp:inline>
        </w:drawing>
      </w:r>
    </w:p>
    <w:p w14:paraId="380D7AB5" w14:textId="77777777" w:rsidR="006575B8" w:rsidRDefault="00630CF2">
      <w:pPr>
        <w:pStyle w:val="Heading2"/>
      </w:pPr>
      <w:r>
        <w:t>1.16 Next</w:t>
      </w:r>
    </w:p>
    <w:p w14:paraId="78293B2E" w14:textId="77777777" w:rsidR="006575B8" w:rsidRDefault="00630CF2">
      <w:r>
        <w:rPr>
          <w:noProof/>
        </w:rPr>
        <w:drawing>
          <wp:inline distT="0" distB="0" distL="0" distR="0" wp14:anchorId="0328A458" wp14:editId="5A825309">
            <wp:extent cx="3705225" cy="2781300"/>
            <wp:effectExtent l="0" t="0" r="0" b="0"/>
            <wp:docPr id="16" name="Slide image" descr="Slide with a box titled &quot;Completed&quot; to represent the end of Module 3: Legal Foundations of Live Hea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 image" descr="Slide with a box titled &quot;Completed&quot; to represent the end of Module 3: Legal Foundations of Live Hearings"/>
                    <pic:cNvPicPr/>
                  </pic:nvPicPr>
                  <pic:blipFill>
                    <a:blip r:embed="rId21" cstate="print"/>
                    <a:stretch>
                      <a:fillRect/>
                    </a:stretch>
                  </pic:blipFill>
                  <pic:spPr>
                    <a:xfrm>
                      <a:off x="0" y="0"/>
                      <a:ext cx="3705225" cy="2781300"/>
                    </a:xfrm>
                    <a:prstGeom prst="rect">
                      <a:avLst/>
                    </a:prstGeom>
                  </pic:spPr>
                </pic:pic>
              </a:graphicData>
            </a:graphic>
          </wp:inline>
        </w:drawing>
      </w:r>
    </w:p>
    <w:sectPr w:rsidR="006575B8">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1A17E" w14:textId="77777777" w:rsidR="00630CF2" w:rsidRDefault="00630CF2" w:rsidP="00BF48BE">
      <w:pPr>
        <w:spacing w:after="0" w:line="240" w:lineRule="auto"/>
      </w:pPr>
      <w:r>
        <w:separator/>
      </w:r>
    </w:p>
  </w:endnote>
  <w:endnote w:type="continuationSeparator" w:id="0">
    <w:p w14:paraId="01469EF4" w14:textId="77777777" w:rsidR="00630CF2" w:rsidRDefault="00630CF2"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F142" w14:textId="77777777" w:rsidR="00BF48BE" w:rsidRDefault="00630CF2" w:rsidP="00BF48BE">
    <w:pPr>
      <w:tabs>
        <w:tab w:val="center" w:pos="4320"/>
        <w:tab w:val="right" w:pos="8640"/>
      </w:tabs>
      <w:jc w:val="center"/>
      <w:rPr>
        <w:rFonts w:cs="Arial"/>
      </w:rPr>
    </w:pPr>
    <w:r>
      <w:rPr>
        <w:rFonts w:cs="Arial"/>
      </w:rPr>
      <w:pict w14:anchorId="617CCCB4">
        <v:rect id="_x0000_i1025" style="width:6in;height:1.5pt" o:hralign="center" o:hrstd="t" o:hr="t" fillcolor="#aca899" stroked="f"/>
      </w:pict>
    </w:r>
  </w:p>
  <w:p w14:paraId="1D3FA3C3" w14:textId="77777777" w:rsidR="00BF48BE" w:rsidRDefault="00BF48BE">
    <w:pPr>
      <w:pStyle w:val="Footer"/>
    </w:pPr>
  </w:p>
  <w:p w14:paraId="75F31768" w14:textId="77777777" w:rsidR="006575B8" w:rsidRDefault="00630CF2">
    <w:r>
      <w:t>Published by Articulate® Storyline www.articulate.com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B5B41" w14:textId="77777777" w:rsidR="00630CF2" w:rsidRDefault="00630CF2" w:rsidP="00BF48BE">
      <w:pPr>
        <w:spacing w:after="0" w:line="240" w:lineRule="auto"/>
      </w:pPr>
      <w:r>
        <w:separator/>
      </w:r>
    </w:p>
  </w:footnote>
  <w:footnote w:type="continuationSeparator" w:id="0">
    <w:p w14:paraId="29DDBCD8" w14:textId="77777777" w:rsidR="00630CF2" w:rsidRDefault="00630CF2" w:rsidP="00BF48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425A8"/>
    <w:rsid w:val="000A1F50"/>
    <w:rsid w:val="00257CC5"/>
    <w:rsid w:val="00300FEB"/>
    <w:rsid w:val="004C46E4"/>
    <w:rsid w:val="004D7311"/>
    <w:rsid w:val="004D7396"/>
    <w:rsid w:val="005C12BE"/>
    <w:rsid w:val="00626EC1"/>
    <w:rsid w:val="00630CF2"/>
    <w:rsid w:val="006575B8"/>
    <w:rsid w:val="00745E41"/>
    <w:rsid w:val="007D56DD"/>
    <w:rsid w:val="009459ED"/>
    <w:rsid w:val="00970988"/>
    <w:rsid w:val="00973C7B"/>
    <w:rsid w:val="00AB1110"/>
    <w:rsid w:val="00AD36E5"/>
    <w:rsid w:val="00B25CDA"/>
    <w:rsid w:val="00B74156"/>
    <w:rsid w:val="00B76CCA"/>
    <w:rsid w:val="00B93CF9"/>
    <w:rsid w:val="00BD3E79"/>
    <w:rsid w:val="00BF48BE"/>
    <w:rsid w:val="00CF333B"/>
    <w:rsid w:val="00D630CD"/>
    <w:rsid w:val="00D8333C"/>
    <w:rsid w:val="00E34F81"/>
    <w:rsid w:val="00E62540"/>
    <w:rsid w:val="00E7115A"/>
    <w:rsid w:val="00EB52EF"/>
    <w:rsid w:val="00F01BC5"/>
    <w:rsid w:val="00FD1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51B2924B-070E-4992-947E-1CBB81E87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bin"/><Relationship Id="rId13" Type="http://schemas.openxmlformats.org/officeDocument/2006/relationships/image" Target="media/image8.bin"/><Relationship Id="rId18" Type="http://schemas.openxmlformats.org/officeDocument/2006/relationships/image" Target="media/image13.bin"/><Relationship Id="rId26" Type="http://schemas.openxmlformats.org/officeDocument/2006/relationships/customXml" Target="../customXml/item2.xml"/><Relationship Id="rId3" Type="http://schemas.openxmlformats.org/officeDocument/2006/relationships/webSettings" Target="webSettings.xml"/><Relationship Id="rId21" Type="http://schemas.openxmlformats.org/officeDocument/2006/relationships/image" Target="media/image16.bin"/><Relationship Id="rId7" Type="http://schemas.openxmlformats.org/officeDocument/2006/relationships/image" Target="media/image2.bin"/><Relationship Id="rId12" Type="http://schemas.openxmlformats.org/officeDocument/2006/relationships/image" Target="media/image7.bin"/><Relationship Id="rId17" Type="http://schemas.openxmlformats.org/officeDocument/2006/relationships/image" Target="media/image12.bin"/><Relationship Id="rId25"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image" Target="media/image11.bin"/><Relationship Id="rId20" Type="http://schemas.openxmlformats.org/officeDocument/2006/relationships/image" Target="media/image15.bin"/><Relationship Id="rId1" Type="http://schemas.openxmlformats.org/officeDocument/2006/relationships/styles" Target="styles.xml"/><Relationship Id="rId6" Type="http://schemas.openxmlformats.org/officeDocument/2006/relationships/image" Target="media/image1.bin"/><Relationship Id="rId11" Type="http://schemas.openxmlformats.org/officeDocument/2006/relationships/image" Target="media/image6.bin"/><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bin"/><Relationship Id="rId23" Type="http://schemas.openxmlformats.org/officeDocument/2006/relationships/fontTable" Target="fontTable.xml"/><Relationship Id="rId10" Type="http://schemas.openxmlformats.org/officeDocument/2006/relationships/image" Target="media/image5.bin"/><Relationship Id="rId19" Type="http://schemas.openxmlformats.org/officeDocument/2006/relationships/image" Target="media/image14.bin"/><Relationship Id="rId4" Type="http://schemas.openxmlformats.org/officeDocument/2006/relationships/footnotes" Target="footnotes.xml"/><Relationship Id="rId9" Type="http://schemas.openxmlformats.org/officeDocument/2006/relationships/image" Target="media/image4.bin"/><Relationship Id="rId14" Type="http://schemas.openxmlformats.org/officeDocument/2006/relationships/image" Target="media/image9.bin"/><Relationship Id="rId22" Type="http://schemas.openxmlformats.org/officeDocument/2006/relationships/footer" Target="footer1.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DEE80A15E8428BF7116FB6EA3FC9" ma:contentTypeVersion="24" ma:contentTypeDescription="Create a new document." ma:contentTypeScope="" ma:versionID="03e17897ba9f09b52cc8bbf56ea4ec22">
  <xsd:schema xmlns:xsd="http://www.w3.org/2001/XMLSchema" xmlns:xs="http://www.w3.org/2001/XMLSchema" xmlns:p="http://schemas.microsoft.com/office/2006/metadata/properties" xmlns:ns2="d53ffc77-9570-416f-b8ce-97d7c6acbadf" xmlns:ns3="77c3fc14-2e30-4e40-8eeb-3b52cfee7462" targetNamespace="http://schemas.microsoft.com/office/2006/metadata/properties" ma:root="true" ma:fieldsID="3e6ec5b12ba50b43e35a5cdab7752b75" ns2:_="" ns3:_="">
    <xsd:import namespace="d53ffc77-9570-416f-b8ce-97d7c6acbadf"/>
    <xsd:import namespace="77c3fc14-2e30-4e40-8eeb-3b52cfee74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CalendarYear" minOccurs="0"/>
                <xsd:element ref="ns2:PresenterOR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ffc77-9570-416f-b8ce-97d7c6acb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4558b3-4b7e-402e-a6c9-1417db9941b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alendarYear" ma:index="27" nillable="true" ma:displayName="Calendar Year" ma:format="Dropdown" ma:internalName="CalendarYear">
      <xsd:simpleType>
        <xsd:restriction base="dms:Text">
          <xsd:maxLength value="255"/>
        </xsd:restriction>
      </xsd:simpleType>
    </xsd:element>
    <xsd:element name="PresenterORG" ma:index="28" nillable="true" ma:displayName="Presenter ORG" ma:format="Dropdown" ma:internalName="PresenterOR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3fc14-2e30-4e40-8eeb-3b52cfee74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219e5c-395d-45d9-bf8c-5b248b101e56}" ma:internalName="TaxCatchAll" ma:showField="CatchAllData" ma:web="77c3fc14-2e30-4e40-8eeb-3b52cfee74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senterORG xmlns="d53ffc77-9570-416f-b8ce-97d7c6acbadf" xsi:nil="true"/>
    <TaxCatchAll xmlns="77c3fc14-2e30-4e40-8eeb-3b52cfee7462" xsi:nil="true"/>
    <CalendarYear xmlns="d53ffc77-9570-416f-b8ce-97d7c6acbadf" xsi:nil="true"/>
    <lcf76f155ced4ddcb4097134ff3c332f xmlns="d53ffc77-9570-416f-b8ce-97d7c6acba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226A41F-A88E-440E-B534-7B74E8723566}"/>
</file>

<file path=customXml/itemProps2.xml><?xml version="1.0" encoding="utf-8"?>
<ds:datastoreItem xmlns:ds="http://schemas.openxmlformats.org/officeDocument/2006/customXml" ds:itemID="{66D594CF-9E46-4EFF-9DE0-435E9796341A}"/>
</file>

<file path=customXml/itemProps3.xml><?xml version="1.0" encoding="utf-8"?>
<ds:datastoreItem xmlns:ds="http://schemas.openxmlformats.org/officeDocument/2006/customXml" ds:itemID="{F6CDB703-7C31-4C71-8E2C-F30F64E1DFBB}"/>
</file>

<file path=docProps/app.xml><?xml version="1.0" encoding="utf-8"?>
<Properties xmlns="http://schemas.openxmlformats.org/officeDocument/2006/extended-properties" xmlns:vt="http://schemas.openxmlformats.org/officeDocument/2006/docPropsVTypes">
  <Template>Normal</Template>
  <TotalTime>0</TotalTime>
  <Pages>9</Pages>
  <Words>145</Words>
  <Characters>831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Articulate</dc:creator>
  <cp:keywords/>
  <dc:description/>
  <cp:lastModifiedBy>Gottung, Lindsay</cp:lastModifiedBy>
  <cp:revision>2</cp:revision>
  <dcterms:created xsi:type="dcterms:W3CDTF">2026-05-28T12:59:00Z</dcterms:created>
  <dcterms:modified xsi:type="dcterms:W3CDTF">2026-05-28T12:59:00Z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0x010100B1F9DEE80A15E8428BF7116FB6EA3FC9</vt:lpwstr>
  </property>
</Properties>
</file>