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626EC1" w:rsidRDefault="004D7311" w:rsidP="005C12BE">
      <w:pPr>
        <w:pStyle w:val="Title"/>
      </w:pPr>
      <w:r>
        <w:t>Recordkeeping</w:t>
      </w:r>
    </w:p>
    <w:p w14:paraId="6F2AB7C1" w14:textId="77777777" w:rsidR="00297ED3" w:rsidRDefault="0000710E">
      <w:pPr>
        <w:pStyle w:val="Heading1"/>
      </w:pPr>
      <w:r>
        <w:t>1. Intro Scene</w:t>
      </w:r>
    </w:p>
    <w:p w14:paraId="54D85269" w14:textId="77777777" w:rsidR="00297ED3" w:rsidRDefault="0000710E">
      <w:pPr>
        <w:pStyle w:val="Heading2"/>
      </w:pPr>
      <w:r>
        <w:t>1.1 Recordkeeping</w:t>
      </w:r>
    </w:p>
    <w:p w14:paraId="09DE642F" w14:textId="77777777" w:rsidR="00297ED3" w:rsidRDefault="0000710E">
      <w:r>
        <w:rPr>
          <w:noProof/>
        </w:rPr>
        <w:drawing>
          <wp:inline distT="0" distB="0" distL="0" distR="0" wp14:anchorId="3FDDEA3E" wp14:editId="37FA0734">
            <wp:extent cx="3705225" cy="2781300"/>
            <wp:effectExtent l="0" t="0" r="0" b="0"/>
            <wp:docPr id="1" name="Slide image" descr="Introductory slide titled &quot;Recordkeeping Training 16&quot; indicating the beginning of modu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Introductory slide titled &quot;Recordkeeping Training 16&quot; indicating the beginning of module 16"/>
                    <pic:cNvPicPr/>
                  </pic:nvPicPr>
                  <pic:blipFill>
                    <a:blip r:embed="rId7" cstate="print"/>
                    <a:stretch>
                      <a:fillRect/>
                    </a:stretch>
                  </pic:blipFill>
                  <pic:spPr>
                    <a:xfrm>
                      <a:off x="0" y="0"/>
                      <a:ext cx="3705225" cy="2781300"/>
                    </a:xfrm>
                    <a:prstGeom prst="rect">
                      <a:avLst/>
                    </a:prstGeom>
                  </pic:spPr>
                </pic:pic>
              </a:graphicData>
            </a:graphic>
          </wp:inline>
        </w:drawing>
      </w:r>
    </w:p>
    <w:p w14:paraId="33B610FA" w14:textId="77777777" w:rsidR="00297ED3" w:rsidRDefault="0000710E">
      <w:r>
        <w:rPr>
          <w:b/>
        </w:rPr>
        <w:t>Notes:</w:t>
      </w:r>
    </w:p>
    <w:p w14:paraId="5E5E8410" w14:textId="77777777" w:rsidR="0000710E" w:rsidRDefault="0000710E">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[Upbeat music]</w:t>
      </w:r>
    </w:p>
    <w:p w14:paraId="0E3AA4C6" w14:textId="77777777" w:rsidR="00297ED3" w:rsidRDefault="00297ED3"/>
    <w:p w14:paraId="7AD00695" w14:textId="77777777" w:rsidR="00297ED3" w:rsidRDefault="0000710E">
      <w:pPr>
        <w:pStyle w:val="Heading2"/>
      </w:pPr>
      <w:r>
        <w:lastRenderedPageBreak/>
        <w:t>1.2 Disclaimer</w:t>
      </w:r>
    </w:p>
    <w:p w14:paraId="19998D59" w14:textId="77777777" w:rsidR="00297ED3" w:rsidRDefault="0000710E">
      <w:r>
        <w:rPr>
          <w:noProof/>
        </w:rPr>
        <w:drawing>
          <wp:inline distT="0" distB="0" distL="0" distR="0" wp14:anchorId="3F7016A1" wp14:editId="498A3301">
            <wp:extent cx="3705225" cy="2781300"/>
            <wp:effectExtent l="0" t="0" r="0" b="0"/>
            <wp:docPr id="2"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pic:cNvPicPr/>
                  </pic:nvPicPr>
                  <pic:blipFill>
                    <a:blip r:embed="rId8" cstate="print"/>
                    <a:stretch>
                      <a:fillRect/>
                    </a:stretch>
                  </pic:blipFill>
                  <pic:spPr>
                    <a:xfrm>
                      <a:off x="0" y="0"/>
                      <a:ext cx="3705225" cy="2781300"/>
                    </a:xfrm>
                    <a:prstGeom prst="rect">
                      <a:avLst/>
                    </a:prstGeom>
                  </pic:spPr>
                </pic:pic>
              </a:graphicData>
            </a:graphic>
          </wp:inline>
        </w:drawing>
      </w:r>
    </w:p>
    <w:p w14:paraId="32D055B1" w14:textId="77777777" w:rsidR="00297ED3" w:rsidRDefault="0000710E">
      <w:r>
        <w:rPr>
          <w:b/>
        </w:rPr>
        <w:t>Notes:</w:t>
      </w:r>
    </w:p>
    <w:p w14:paraId="16F303A1" w14:textId="77777777" w:rsidR="0000710E" w:rsidRDefault="0000710E">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Gotham Book" w:hAnsi="Gotham Book" w:cs="Gotham Book"/>
          <w:color w:val="000000"/>
          <w:kern w:val="0"/>
          <w:sz w:val="16"/>
          <w:szCs w:val="16"/>
        </w:rPr>
        <w:t>All trainings and resources offered by the SUNY Student Conduct Institute (SCI) are the property of the State University of New York and may not be shared or duplicated without express written authorization from SCI or as required by law. SCI trainings and resources are intended to provide educational content and advise on general compliance, as applicable. SCI training and resources shall not constitute legal advice  or legal opinions on specific circumstances, and do not create an attorney-client relation</w:t>
      </w:r>
      <w:r>
        <w:rPr>
          <w:rFonts w:ascii="Gotham Book" w:hAnsi="Gotham Book" w:cs="Gotham Book"/>
          <w:color w:val="000000"/>
          <w:kern w:val="0"/>
          <w:sz w:val="16"/>
          <w:szCs w:val="16"/>
        </w:rPr>
        <w:t xml:space="preserve">ship. Please consult with your own attorney or campus counsel to obtain advice regarding all matters specific to your institution.  </w:t>
      </w:r>
    </w:p>
    <w:p w14:paraId="03DEF8D4" w14:textId="77777777" w:rsidR="00297ED3" w:rsidRDefault="00297ED3"/>
    <w:p w14:paraId="1BFC9F7B" w14:textId="77777777" w:rsidR="00297ED3" w:rsidRDefault="0000710E">
      <w:pPr>
        <w:pStyle w:val="Heading2"/>
      </w:pPr>
      <w:r>
        <w:t>1.3 Overview</w:t>
      </w:r>
    </w:p>
    <w:p w14:paraId="457EE995" w14:textId="77777777" w:rsidR="00297ED3" w:rsidRDefault="0000710E">
      <w:r>
        <w:rPr>
          <w:noProof/>
        </w:rPr>
        <w:drawing>
          <wp:inline distT="0" distB="0" distL="0" distR="0" wp14:anchorId="4A20EA9D" wp14:editId="791464B9">
            <wp:extent cx="3705225" cy="2781300"/>
            <wp:effectExtent l="0" t="0" r="0" b="0"/>
            <wp:docPr id="3" name="Slide image" descr="Screenshot of a training presentation slide titled &quot;Overview&quot; outlining topics to be reviewed, including types of records to be maintained and methods of record keeping and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Screenshot of a training presentation slide titled &quot;Overview&quot; outlining topics to be reviewed, including types of records to be maintained and methods of record keeping and sharing"/>
                    <pic:cNvPicPr/>
                  </pic:nvPicPr>
                  <pic:blipFill>
                    <a:blip r:embed="rId9" cstate="print"/>
                    <a:stretch>
                      <a:fillRect/>
                    </a:stretch>
                  </pic:blipFill>
                  <pic:spPr>
                    <a:xfrm>
                      <a:off x="0" y="0"/>
                      <a:ext cx="3705225" cy="2781300"/>
                    </a:xfrm>
                    <a:prstGeom prst="rect">
                      <a:avLst/>
                    </a:prstGeom>
                  </pic:spPr>
                </pic:pic>
              </a:graphicData>
            </a:graphic>
          </wp:inline>
        </w:drawing>
      </w:r>
    </w:p>
    <w:p w14:paraId="30D3BFF0" w14:textId="77777777" w:rsidR="00297ED3" w:rsidRDefault="0000710E">
      <w:r>
        <w:rPr>
          <w:b/>
        </w:rPr>
        <w:lastRenderedPageBreak/>
        <w:t>Notes:</w:t>
      </w:r>
    </w:p>
    <w:p w14:paraId="3E8FA371" w14:textId="77777777" w:rsidR="0000710E" w:rsidRDefault="0000710E">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Welcome to recordkeeping obligations for Title IX coordinators. We will review what kinds of records institutions must maintain, as well as the mechanisms for how those records are kept and shared.  </w:t>
      </w:r>
      <w:r>
        <w:rPr>
          <w:rFonts w:ascii="Open Sans" w:hAnsi="Open Sans" w:cs="Open Sans"/>
          <w:color w:val="000000"/>
          <w:kern w:val="0"/>
          <w:sz w:val="16"/>
          <w:szCs w:val="16"/>
        </w:rPr>
        <w:br/>
        <w:t xml:space="preserve">Institutions are obligated to keep these records for many reasons, including assurance that an institution is consistent in their response to reports of sexual harassment, compliance with the Title IX final rule and other pieces of legislation, and to enforce transparency with important stakeholders in the institution and the Title IX grievance process. </w:t>
      </w:r>
    </w:p>
    <w:p w14:paraId="277E025D" w14:textId="77777777" w:rsidR="00297ED3" w:rsidRDefault="00297ED3"/>
    <w:p w14:paraId="282D7B3C" w14:textId="77777777" w:rsidR="00297ED3" w:rsidRDefault="0000710E">
      <w:pPr>
        <w:pStyle w:val="Heading2"/>
      </w:pPr>
      <w:r>
        <w:t>1.4 The Final Rule</w:t>
      </w:r>
    </w:p>
    <w:p w14:paraId="73DD7147" w14:textId="77777777" w:rsidR="00297ED3" w:rsidRDefault="0000710E">
      <w:r>
        <w:rPr>
          <w:noProof/>
        </w:rPr>
        <w:drawing>
          <wp:inline distT="0" distB="0" distL="0" distR="0" wp14:anchorId="6BD577DA" wp14:editId="7790FE6E">
            <wp:extent cx="3705225" cy="2781300"/>
            <wp:effectExtent l="0" t="0" r="0" b="0"/>
            <wp:docPr id="4" name="Slide image" descr="Presentation slide outlining record retention requirements under &quot;The Final Rule,&quot; specifying institutions must keep records for at least seven years. Key points include maintaining documentation of sexual harassment investigations, responsibility determinations, audio or audiovisual recordings, disciplinary sanctions, and remedies for complainants to ensure equal access to educational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Presentation slide outlining record retention requirements under &quot;The Final Rule,&quot; specifying institutions must keep records for at least seven years. Key points include maintaining documentation of sexual harassment investigations, responsibility determinations, audio or audiovisual recordings, disciplinary sanctions, and remedies for complainants to ensure equal access to educational programs"/>
                    <pic:cNvPicPr/>
                  </pic:nvPicPr>
                  <pic:blipFill>
                    <a:blip r:embed="rId10" cstate="print"/>
                    <a:stretch>
                      <a:fillRect/>
                    </a:stretch>
                  </pic:blipFill>
                  <pic:spPr>
                    <a:xfrm>
                      <a:off x="0" y="0"/>
                      <a:ext cx="3705225" cy="2781300"/>
                    </a:xfrm>
                    <a:prstGeom prst="rect">
                      <a:avLst/>
                    </a:prstGeom>
                  </pic:spPr>
                </pic:pic>
              </a:graphicData>
            </a:graphic>
          </wp:inline>
        </w:drawing>
      </w:r>
    </w:p>
    <w:p w14:paraId="114FB1BF" w14:textId="77777777" w:rsidR="00297ED3" w:rsidRDefault="0000710E">
      <w:r>
        <w:rPr>
          <w:b/>
        </w:rPr>
        <w:t>Notes:</w:t>
      </w:r>
    </w:p>
    <w:p w14:paraId="1F8F21C7" w14:textId="77777777" w:rsidR="0000710E" w:rsidRDefault="0000710E">
      <w:pPr>
        <w:widowControl w:val="0"/>
        <w:autoSpaceDE w:val="0"/>
        <w:autoSpaceDN w:val="0"/>
        <w:adjustRightInd w:val="0"/>
        <w:spacing w:after="0" w:line="240" w:lineRule="auto"/>
        <w:rPr>
          <w:rFonts w:ascii="Open Sans" w:hAnsi="Open Sans" w:cs="Open Sans"/>
          <w:color w:val="000000"/>
          <w:kern w:val="0"/>
          <w:sz w:val="16"/>
          <w:szCs w:val="16"/>
        </w:rPr>
      </w:pPr>
      <w:r>
        <w:rPr>
          <w:rFonts w:ascii="Open Sans" w:hAnsi="Open Sans" w:cs="Open Sans"/>
          <w:color w:val="000000"/>
          <w:kern w:val="0"/>
          <w:sz w:val="16"/>
          <w:szCs w:val="16"/>
        </w:rPr>
        <w:t xml:space="preserve">Institutions must keep records for at least seven years, per the final rule. These records include: </w:t>
      </w:r>
    </w:p>
    <w:p w14:paraId="510F8983" w14:textId="77777777" w:rsidR="0000710E" w:rsidRDefault="0000710E">
      <w:pPr>
        <w:widowControl w:val="0"/>
        <w:autoSpaceDE w:val="0"/>
        <w:autoSpaceDN w:val="0"/>
        <w:adjustRightInd w:val="0"/>
        <w:spacing w:after="0" w:line="240" w:lineRule="auto"/>
        <w:rPr>
          <w:rFonts w:ascii="Open Sans" w:hAnsi="Open Sans" w:cs="Open Sans"/>
          <w:color w:val="000000"/>
          <w:kern w:val="0"/>
          <w:sz w:val="16"/>
          <w:szCs w:val="16"/>
        </w:rPr>
      </w:pPr>
      <w:r>
        <w:rPr>
          <w:rFonts w:ascii="Open Sans" w:hAnsi="Open Sans" w:cs="Open Sans"/>
          <w:color w:val="000000"/>
          <w:kern w:val="0"/>
          <w:sz w:val="16"/>
          <w:szCs w:val="16"/>
        </w:rPr>
        <w:t>Each sexual harassment investigation, including:</w:t>
      </w:r>
    </w:p>
    <w:p w14:paraId="5C1B4599" w14:textId="77777777" w:rsidR="0000710E" w:rsidRDefault="0000710E" w:rsidP="001E693D">
      <w:pPr>
        <w:widowControl w:val="0"/>
        <w:numPr>
          <w:ilvl w:val="0"/>
          <w:numId w:val="1"/>
        </w:numPr>
        <w:autoSpaceDE w:val="0"/>
        <w:autoSpaceDN w:val="0"/>
        <w:adjustRightInd w:val="0"/>
        <w:spacing w:after="0" w:line="240" w:lineRule="auto"/>
        <w:ind w:left="147" w:hanging="147"/>
        <w:rPr>
          <w:rFonts w:ascii="Open Sans" w:hAnsi="Open Sans" w:cs="Open Sans"/>
          <w:color w:val="000000"/>
          <w:kern w:val="0"/>
          <w:sz w:val="16"/>
          <w:szCs w:val="16"/>
        </w:rPr>
      </w:pPr>
      <w:r>
        <w:rPr>
          <w:rFonts w:ascii="Open Sans" w:hAnsi="Open Sans" w:cs="Open Sans"/>
          <w:color w:val="000000"/>
          <w:kern w:val="0"/>
          <w:sz w:val="16"/>
          <w:szCs w:val="16"/>
        </w:rPr>
        <w:t>Determination regarding responsibility</w:t>
      </w:r>
    </w:p>
    <w:p w14:paraId="1D49E4B6" w14:textId="77777777" w:rsidR="0000710E" w:rsidRDefault="0000710E" w:rsidP="001E693D">
      <w:pPr>
        <w:widowControl w:val="0"/>
        <w:numPr>
          <w:ilvl w:val="0"/>
          <w:numId w:val="1"/>
        </w:numPr>
        <w:autoSpaceDE w:val="0"/>
        <w:autoSpaceDN w:val="0"/>
        <w:adjustRightInd w:val="0"/>
        <w:spacing w:after="0" w:line="240" w:lineRule="auto"/>
        <w:ind w:left="147" w:hanging="147"/>
        <w:rPr>
          <w:rFonts w:ascii="Open Sans" w:hAnsi="Open Sans" w:cs="Open Sans"/>
          <w:color w:val="000000"/>
          <w:kern w:val="0"/>
          <w:sz w:val="16"/>
          <w:szCs w:val="16"/>
        </w:rPr>
      </w:pPr>
      <w:r>
        <w:rPr>
          <w:rFonts w:ascii="Open Sans" w:hAnsi="Open Sans" w:cs="Open Sans"/>
          <w:color w:val="000000"/>
          <w:kern w:val="0"/>
          <w:sz w:val="16"/>
          <w:szCs w:val="16"/>
        </w:rPr>
        <w:t>Any audio or audiovisual recording or transcript</w:t>
      </w:r>
    </w:p>
    <w:p w14:paraId="36D7E3B3" w14:textId="77777777" w:rsidR="0000710E" w:rsidRDefault="0000710E" w:rsidP="001E693D">
      <w:pPr>
        <w:widowControl w:val="0"/>
        <w:numPr>
          <w:ilvl w:val="0"/>
          <w:numId w:val="1"/>
        </w:numPr>
        <w:autoSpaceDE w:val="0"/>
        <w:autoSpaceDN w:val="0"/>
        <w:adjustRightInd w:val="0"/>
        <w:spacing w:after="0" w:line="240" w:lineRule="auto"/>
        <w:ind w:left="147" w:hanging="147"/>
        <w:rPr>
          <w:rFonts w:ascii="Open Sans" w:hAnsi="Open Sans" w:cs="Open Sans"/>
          <w:color w:val="000000"/>
          <w:kern w:val="0"/>
          <w:sz w:val="16"/>
          <w:szCs w:val="16"/>
        </w:rPr>
      </w:pPr>
      <w:r>
        <w:rPr>
          <w:rFonts w:ascii="Open Sans" w:hAnsi="Open Sans" w:cs="Open Sans"/>
          <w:color w:val="000000"/>
          <w:kern w:val="0"/>
          <w:sz w:val="16"/>
          <w:szCs w:val="16"/>
        </w:rPr>
        <w:t>Any disciplinary sanctions imposed on the respondent</w:t>
      </w:r>
    </w:p>
    <w:p w14:paraId="13470BBE" w14:textId="77777777" w:rsidR="0000710E" w:rsidRDefault="0000710E" w:rsidP="001E693D">
      <w:pPr>
        <w:widowControl w:val="0"/>
        <w:numPr>
          <w:ilvl w:val="0"/>
          <w:numId w:val="1"/>
        </w:numPr>
        <w:autoSpaceDE w:val="0"/>
        <w:autoSpaceDN w:val="0"/>
        <w:adjustRightInd w:val="0"/>
        <w:spacing w:after="0" w:line="240" w:lineRule="auto"/>
        <w:ind w:left="147" w:hanging="147"/>
        <w:rPr>
          <w:rFonts w:ascii="Microsoft Sans Serif" w:hAnsi="Microsoft Sans Serif" w:cs="Microsoft Sans Serif"/>
          <w:kern w:val="0"/>
          <w:sz w:val="17"/>
          <w:szCs w:val="17"/>
        </w:rPr>
      </w:pPr>
      <w:r>
        <w:rPr>
          <w:rFonts w:ascii="Open Sans" w:hAnsi="Open Sans" w:cs="Open Sans"/>
          <w:color w:val="000000"/>
          <w:kern w:val="0"/>
          <w:sz w:val="16"/>
          <w:szCs w:val="16"/>
        </w:rPr>
        <w:t>Any remedies provided to the complainant designed to restore or preserve equal access to the institution’s educational programs or activities</w:t>
      </w:r>
    </w:p>
    <w:p w14:paraId="279A36F7" w14:textId="77777777" w:rsidR="00297ED3" w:rsidRDefault="00297ED3"/>
    <w:p w14:paraId="623B6B62" w14:textId="77777777" w:rsidR="00297ED3" w:rsidRDefault="0000710E">
      <w:pPr>
        <w:pStyle w:val="Heading2"/>
      </w:pPr>
      <w:r>
        <w:lastRenderedPageBreak/>
        <w:t>1.5 The Final Rule: Other Records</w:t>
      </w:r>
    </w:p>
    <w:p w14:paraId="1C937DA6" w14:textId="77777777" w:rsidR="00297ED3" w:rsidRDefault="0000710E">
      <w:r>
        <w:rPr>
          <w:noProof/>
        </w:rPr>
        <w:drawing>
          <wp:inline distT="0" distB="0" distL="0" distR="0" wp14:anchorId="7763D8D5" wp14:editId="7F49AEDA">
            <wp:extent cx="3705225" cy="2781300"/>
            <wp:effectExtent l="0" t="0" r="0" b="0"/>
            <wp:docPr id="5" name="Slide image" descr="Presentation slide titled &quot;The Final Rule: Other Records&quot; outlining records institutions must keep for at least seven years. The slide lists specific types of records including appeals, informal resolutions, actions related to sexual harassment complaints, basis for conclusions, and explanations for in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Presentation slide titled &quot;The Final Rule: Other Records&quot; outlining records institutions must keep for at least seven years. The slide lists specific types of records including appeals, informal resolutions, actions related to sexual harassment complaints, basis for conclusions, and explanations for inaction"/>
                    <pic:cNvPicPr/>
                  </pic:nvPicPr>
                  <pic:blipFill>
                    <a:blip r:embed="rId11" cstate="print"/>
                    <a:stretch>
                      <a:fillRect/>
                    </a:stretch>
                  </pic:blipFill>
                  <pic:spPr>
                    <a:xfrm>
                      <a:off x="0" y="0"/>
                      <a:ext cx="3705225" cy="2781300"/>
                    </a:xfrm>
                    <a:prstGeom prst="rect">
                      <a:avLst/>
                    </a:prstGeom>
                  </pic:spPr>
                </pic:pic>
              </a:graphicData>
            </a:graphic>
          </wp:inline>
        </w:drawing>
      </w:r>
    </w:p>
    <w:p w14:paraId="6148041F" w14:textId="77777777" w:rsidR="00297ED3" w:rsidRDefault="0000710E">
      <w:r>
        <w:rPr>
          <w:b/>
        </w:rPr>
        <w:t>Notes:</w:t>
      </w:r>
    </w:p>
    <w:p w14:paraId="49609824" w14:textId="77777777" w:rsidR="0000710E" w:rsidRDefault="0000710E">
      <w:pPr>
        <w:widowControl w:val="0"/>
        <w:autoSpaceDE w:val="0"/>
        <w:autoSpaceDN w:val="0"/>
        <w:adjustRightInd w:val="0"/>
        <w:spacing w:after="0" w:line="240" w:lineRule="auto"/>
        <w:rPr>
          <w:rFonts w:ascii="Open Sans" w:hAnsi="Open Sans" w:cs="Open Sans"/>
          <w:color w:val="000000"/>
          <w:kern w:val="0"/>
          <w:sz w:val="16"/>
          <w:szCs w:val="16"/>
        </w:rPr>
      </w:pPr>
      <w:r>
        <w:rPr>
          <w:rFonts w:ascii="Open Sans" w:hAnsi="Open Sans" w:cs="Open Sans"/>
          <w:color w:val="000000"/>
          <w:kern w:val="0"/>
          <w:sz w:val="16"/>
          <w:szCs w:val="16"/>
        </w:rPr>
        <w:t>They should also include:</w:t>
      </w:r>
    </w:p>
    <w:p w14:paraId="19B97712" w14:textId="77777777" w:rsidR="0000710E" w:rsidRDefault="0000710E" w:rsidP="001E693D">
      <w:pPr>
        <w:widowControl w:val="0"/>
        <w:numPr>
          <w:ilvl w:val="0"/>
          <w:numId w:val="1"/>
        </w:numPr>
        <w:autoSpaceDE w:val="0"/>
        <w:autoSpaceDN w:val="0"/>
        <w:adjustRightInd w:val="0"/>
        <w:spacing w:after="0" w:line="240" w:lineRule="auto"/>
        <w:ind w:left="507" w:hanging="147"/>
        <w:rPr>
          <w:rFonts w:ascii="Gotham Book" w:hAnsi="Gotham Book" w:cs="Gotham Book"/>
          <w:color w:val="000000"/>
          <w:kern w:val="0"/>
          <w:sz w:val="36"/>
          <w:szCs w:val="36"/>
        </w:rPr>
      </w:pPr>
      <w:r>
        <w:rPr>
          <w:rFonts w:ascii="Gotham Book" w:hAnsi="Gotham Book" w:cs="Gotham Book"/>
          <w:color w:val="000000"/>
          <w:kern w:val="0"/>
          <w:sz w:val="36"/>
          <w:szCs w:val="36"/>
        </w:rPr>
        <w:t>Any appeal, and the results of said appeal</w:t>
      </w:r>
    </w:p>
    <w:p w14:paraId="7B19A6C8" w14:textId="77777777" w:rsidR="0000710E" w:rsidRDefault="0000710E" w:rsidP="001E693D">
      <w:pPr>
        <w:widowControl w:val="0"/>
        <w:numPr>
          <w:ilvl w:val="0"/>
          <w:numId w:val="1"/>
        </w:numPr>
        <w:autoSpaceDE w:val="0"/>
        <w:autoSpaceDN w:val="0"/>
        <w:adjustRightInd w:val="0"/>
        <w:spacing w:after="0" w:line="240" w:lineRule="auto"/>
        <w:ind w:left="507" w:hanging="147"/>
        <w:rPr>
          <w:rFonts w:ascii="Gotham Book" w:hAnsi="Gotham Book" w:cs="Gotham Book"/>
          <w:color w:val="000000"/>
          <w:kern w:val="0"/>
          <w:sz w:val="36"/>
          <w:szCs w:val="36"/>
        </w:rPr>
      </w:pPr>
      <w:r>
        <w:rPr>
          <w:rFonts w:ascii="Gotham Book" w:hAnsi="Gotham Book" w:cs="Gotham Book"/>
          <w:color w:val="000000"/>
          <w:kern w:val="0"/>
          <w:sz w:val="36"/>
          <w:szCs w:val="36"/>
        </w:rPr>
        <w:t>Any informal resolution and results</w:t>
      </w:r>
    </w:p>
    <w:p w14:paraId="22203E2B" w14:textId="77777777" w:rsidR="0000710E" w:rsidRDefault="0000710E" w:rsidP="001E693D">
      <w:pPr>
        <w:widowControl w:val="0"/>
        <w:numPr>
          <w:ilvl w:val="0"/>
          <w:numId w:val="1"/>
        </w:numPr>
        <w:autoSpaceDE w:val="0"/>
        <w:autoSpaceDN w:val="0"/>
        <w:adjustRightInd w:val="0"/>
        <w:spacing w:after="0" w:line="240" w:lineRule="auto"/>
        <w:ind w:left="507" w:hanging="147"/>
        <w:rPr>
          <w:rFonts w:ascii="Gotham Book" w:hAnsi="Gotham Book" w:cs="Gotham Book"/>
          <w:color w:val="000000"/>
          <w:kern w:val="0"/>
          <w:sz w:val="36"/>
          <w:szCs w:val="36"/>
        </w:rPr>
      </w:pPr>
      <w:r>
        <w:rPr>
          <w:rFonts w:ascii="Gotham Book" w:hAnsi="Gotham Book" w:cs="Gotham Book"/>
          <w:color w:val="000000"/>
          <w:kern w:val="0"/>
          <w:sz w:val="36"/>
          <w:szCs w:val="36"/>
        </w:rPr>
        <w:t>Any actions and supportive measures in response to a report or formal complaint of sexual harassment</w:t>
      </w:r>
    </w:p>
    <w:p w14:paraId="49FDC6AC" w14:textId="77777777" w:rsidR="0000710E" w:rsidRDefault="0000710E" w:rsidP="001E693D">
      <w:pPr>
        <w:widowControl w:val="0"/>
        <w:numPr>
          <w:ilvl w:val="0"/>
          <w:numId w:val="1"/>
        </w:numPr>
        <w:autoSpaceDE w:val="0"/>
        <w:autoSpaceDN w:val="0"/>
        <w:adjustRightInd w:val="0"/>
        <w:spacing w:after="0" w:line="240" w:lineRule="auto"/>
        <w:ind w:left="507" w:hanging="147"/>
        <w:rPr>
          <w:rFonts w:ascii="Gotham Book" w:hAnsi="Gotham Book" w:cs="Gotham Book"/>
          <w:color w:val="000000"/>
          <w:kern w:val="0"/>
          <w:sz w:val="36"/>
          <w:szCs w:val="36"/>
        </w:rPr>
      </w:pPr>
      <w:r>
        <w:rPr>
          <w:rFonts w:ascii="Gotham Book" w:hAnsi="Gotham Book" w:cs="Gotham Book"/>
          <w:color w:val="000000"/>
          <w:kern w:val="0"/>
          <w:sz w:val="36"/>
          <w:szCs w:val="36"/>
        </w:rPr>
        <w:t>The basis for conclusion and any deliberate indifference</w:t>
      </w:r>
    </w:p>
    <w:p w14:paraId="27BB802A" w14:textId="77777777" w:rsidR="0000710E" w:rsidRDefault="0000710E" w:rsidP="001E693D">
      <w:pPr>
        <w:widowControl w:val="0"/>
        <w:numPr>
          <w:ilvl w:val="0"/>
          <w:numId w:val="1"/>
        </w:numPr>
        <w:autoSpaceDE w:val="0"/>
        <w:autoSpaceDN w:val="0"/>
        <w:adjustRightInd w:val="0"/>
        <w:spacing w:after="0" w:line="240" w:lineRule="auto"/>
        <w:ind w:left="507" w:hanging="147"/>
        <w:rPr>
          <w:rFonts w:ascii="Microsoft Sans Serif" w:hAnsi="Microsoft Sans Serif" w:cs="Microsoft Sans Serif"/>
          <w:kern w:val="0"/>
          <w:sz w:val="17"/>
          <w:szCs w:val="17"/>
        </w:rPr>
      </w:pPr>
      <w:r>
        <w:rPr>
          <w:rFonts w:ascii="Gotham Book" w:hAnsi="Gotham Book" w:cs="Gotham Book"/>
          <w:color w:val="000000"/>
          <w:kern w:val="0"/>
          <w:sz w:val="36"/>
          <w:szCs w:val="36"/>
        </w:rPr>
        <w:t xml:space="preserve">If no action: why </w:t>
      </w:r>
      <w:proofErr w:type="gramStart"/>
      <w:r>
        <w:rPr>
          <w:rFonts w:ascii="Gotham Book" w:hAnsi="Gotham Book" w:cs="Gotham Book"/>
          <w:color w:val="000000"/>
          <w:kern w:val="0"/>
          <w:sz w:val="36"/>
          <w:szCs w:val="36"/>
        </w:rPr>
        <w:t>no response was</w:t>
      </w:r>
      <w:proofErr w:type="gramEnd"/>
      <w:r>
        <w:rPr>
          <w:rFonts w:ascii="Gotham Book" w:hAnsi="Gotham Book" w:cs="Gotham Book"/>
          <w:color w:val="000000"/>
          <w:kern w:val="0"/>
          <w:sz w:val="36"/>
          <w:szCs w:val="36"/>
        </w:rPr>
        <w:t xml:space="preserve"> appropriate and not deliberately indifferent  </w:t>
      </w:r>
    </w:p>
    <w:p w14:paraId="5F309044" w14:textId="77777777" w:rsidR="00297ED3" w:rsidRDefault="00297ED3"/>
    <w:p w14:paraId="651B65B4" w14:textId="77777777" w:rsidR="00297ED3" w:rsidRDefault="0000710E">
      <w:pPr>
        <w:pStyle w:val="Heading2"/>
      </w:pPr>
      <w:r>
        <w:lastRenderedPageBreak/>
        <w:t>1.6 Final Rule: Training Materials</w:t>
      </w:r>
    </w:p>
    <w:p w14:paraId="6719A4E5" w14:textId="77777777" w:rsidR="00297ED3" w:rsidRDefault="0000710E">
      <w:r>
        <w:rPr>
          <w:noProof/>
        </w:rPr>
        <w:drawing>
          <wp:inline distT="0" distB="0" distL="0" distR="0" wp14:anchorId="4C826049" wp14:editId="77B6E992">
            <wp:extent cx="3705225" cy="2781300"/>
            <wp:effectExtent l="0" t="0" r="0" b="0"/>
            <wp:docPr id="6" name="Slide image" descr="Presentation slide titled &quot;Final Rule: Training Materials&quot; outlining requirements for institutions to retain training materials for Title IX coordinators, investigators, decision-makers, and informal resolution facilitators for at least seven years. The slide emphasizes that these materials must be publicly available on the institution’s website or accessible upon request by any member of the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Presentation slide titled &quot;Final Rule: Training Materials&quot; outlining requirements for institutions to retain training materials for Title IX coordinators, investigators, decision-makers, and informal resolution facilitators for at least seven years. The slide emphasizes that these materials must be publicly available on the institution’s website or accessible upon request by any member of the public"/>
                    <pic:cNvPicPr/>
                  </pic:nvPicPr>
                  <pic:blipFill>
                    <a:blip r:embed="rId12" cstate="print"/>
                    <a:stretch>
                      <a:fillRect/>
                    </a:stretch>
                  </pic:blipFill>
                  <pic:spPr>
                    <a:xfrm>
                      <a:off x="0" y="0"/>
                      <a:ext cx="3705225" cy="2781300"/>
                    </a:xfrm>
                    <a:prstGeom prst="rect">
                      <a:avLst/>
                    </a:prstGeom>
                  </pic:spPr>
                </pic:pic>
              </a:graphicData>
            </a:graphic>
          </wp:inline>
        </w:drawing>
      </w:r>
    </w:p>
    <w:p w14:paraId="5DD7E4B8" w14:textId="77777777" w:rsidR="00297ED3" w:rsidRDefault="0000710E">
      <w:r>
        <w:rPr>
          <w:b/>
        </w:rPr>
        <w:t>Notes:</w:t>
      </w:r>
    </w:p>
    <w:p w14:paraId="365AA6D6" w14:textId="77777777" w:rsidR="0000710E" w:rsidRDefault="0000710E">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All training materials for Title IX coordinators, investigators, decision-makers, and any informal resolution facilitators. </w:t>
      </w:r>
      <w:r>
        <w:rPr>
          <w:rFonts w:ascii="Open Sans" w:hAnsi="Open Sans" w:cs="Open Sans"/>
          <w:color w:val="000000"/>
          <w:kern w:val="0"/>
          <w:sz w:val="16"/>
          <w:szCs w:val="16"/>
        </w:rPr>
        <w:br/>
        <w:t xml:space="preserve">There is an additional stipulation that these training materials must be publicly available on the institution’s website, or they must be made available upon request for inspection by a member of the public. </w:t>
      </w:r>
    </w:p>
    <w:p w14:paraId="4EBF255A" w14:textId="77777777" w:rsidR="00297ED3" w:rsidRDefault="00297ED3"/>
    <w:p w14:paraId="1608BDB9" w14:textId="77777777" w:rsidR="00297ED3" w:rsidRDefault="0000710E">
      <w:pPr>
        <w:pStyle w:val="Heading2"/>
      </w:pPr>
      <w:r>
        <w:t>1.7 Maintaining Records</w:t>
      </w:r>
    </w:p>
    <w:p w14:paraId="68631562" w14:textId="77777777" w:rsidR="00297ED3" w:rsidRDefault="0000710E">
      <w:r>
        <w:rPr>
          <w:noProof/>
        </w:rPr>
        <w:drawing>
          <wp:inline distT="0" distB="0" distL="0" distR="0" wp14:anchorId="40B4A291" wp14:editId="1428F4A9">
            <wp:extent cx="3705225" cy="2781300"/>
            <wp:effectExtent l="0" t="0" r="0" b="0"/>
            <wp:docPr id="7" name="Slide image" descr="Presentation slide titled &quot;Maintaining Records&quot; explaining methods for record maintenance. The slide lists using case management software and physical file storage with emphasis on organization for accessibility and legal shar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Presentation slide titled &quot;Maintaining Records&quot; explaining methods for record maintenance. The slide lists using case management software and physical file storage with emphasis on organization for accessibility and legal sharing requirements"/>
                    <pic:cNvPicPr/>
                  </pic:nvPicPr>
                  <pic:blipFill>
                    <a:blip r:embed="rId13" cstate="print"/>
                    <a:stretch>
                      <a:fillRect/>
                    </a:stretch>
                  </pic:blipFill>
                  <pic:spPr>
                    <a:xfrm>
                      <a:off x="0" y="0"/>
                      <a:ext cx="3705225" cy="2781300"/>
                    </a:xfrm>
                    <a:prstGeom prst="rect">
                      <a:avLst/>
                    </a:prstGeom>
                  </pic:spPr>
                </pic:pic>
              </a:graphicData>
            </a:graphic>
          </wp:inline>
        </w:drawing>
      </w:r>
    </w:p>
    <w:p w14:paraId="3C382CC4" w14:textId="77777777" w:rsidR="00297ED3" w:rsidRDefault="0000710E">
      <w:r>
        <w:rPr>
          <w:b/>
        </w:rPr>
        <w:t>Notes:</w:t>
      </w:r>
    </w:p>
    <w:p w14:paraId="4F5C8064" w14:textId="77777777" w:rsidR="0000710E" w:rsidRDefault="0000710E">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There are many ways to maintain these records. The easiest method to maintain records would likely be the case </w:t>
      </w:r>
      <w:r>
        <w:rPr>
          <w:rFonts w:ascii="Open Sans" w:hAnsi="Open Sans" w:cs="Open Sans"/>
          <w:color w:val="000000"/>
          <w:kern w:val="0"/>
          <w:sz w:val="16"/>
          <w:szCs w:val="16"/>
        </w:rPr>
        <w:lastRenderedPageBreak/>
        <w:t xml:space="preserve">management software that you institution uses to store materials while a case is underway, although that is dependent on your institution’s resources.  </w:t>
      </w:r>
      <w:r>
        <w:rPr>
          <w:rFonts w:ascii="Open Sans" w:hAnsi="Open Sans" w:cs="Open Sans"/>
          <w:color w:val="000000"/>
          <w:kern w:val="0"/>
          <w:sz w:val="16"/>
          <w:szCs w:val="16"/>
        </w:rPr>
        <w:br/>
        <w:t xml:space="preserve">If your institution wishes to maintain a physical space where your files are stored, they must be organized in such a way that they are accessible and shareable. Some of these files may be requested by the parties involved, their advisors, or the institution may be compelled to share them through a court order. </w:t>
      </w:r>
    </w:p>
    <w:p w14:paraId="2AB655B8" w14:textId="77777777" w:rsidR="00297ED3" w:rsidRDefault="00297ED3"/>
    <w:p w14:paraId="30034212" w14:textId="77777777" w:rsidR="00297ED3" w:rsidRDefault="0000710E">
      <w:pPr>
        <w:pStyle w:val="Heading2"/>
      </w:pPr>
      <w:r>
        <w:t>1.8 Knowledge Check</w:t>
      </w:r>
    </w:p>
    <w:p w14:paraId="080A784C" w14:textId="77777777" w:rsidR="00297ED3" w:rsidRDefault="0000710E">
      <w:r>
        <w:rPr>
          <w:i/>
        </w:rPr>
        <w:t>(Multiple Response, 10 points, unlimited attempts permitted)</w:t>
      </w:r>
    </w:p>
    <w:p w14:paraId="14B5A13A" w14:textId="77777777" w:rsidR="00297ED3" w:rsidRDefault="0000710E">
      <w:r>
        <w:rPr>
          <w:noProof/>
        </w:rPr>
        <w:drawing>
          <wp:inline distT="0" distB="0" distL="0" distR="0" wp14:anchorId="6CCD6A8B" wp14:editId="7619ECA5">
            <wp:extent cx="3705225" cy="2781300"/>
            <wp:effectExtent l="0" t="0" r="0" b="0"/>
            <wp:docPr id="8" name="Slide image" descr="Multiple-choice knowledge check question about Title IX record-keeping requirements, asking which items must be kept for at least seven years. Four options, Hearing notes, Training pamphlet, Institution policy, and Transcrip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Multiple-choice knowledge check question about Title IX record-keeping requirements, asking which items must be kept for at least seven years. Four options, Hearing notes, Training pamphlet, Institution policy, and Transcripts. "/>
                    <pic:cNvPicPr/>
                  </pic:nvPicPr>
                  <pic:blipFill>
                    <a:blip r:embed="rId14" cstate="print"/>
                    <a:stretch>
                      <a:fillRect/>
                    </a:stretch>
                  </pic:blipFill>
                  <pic:spPr>
                    <a:xfrm>
                      <a:off x="0" y="0"/>
                      <a:ext cx="3705225" cy="2781300"/>
                    </a:xfrm>
                    <a:prstGeom prst="rect">
                      <a:avLst/>
                    </a:prstGeom>
                  </pic:spPr>
                </pic:pic>
              </a:graphicData>
            </a:graphic>
          </wp:inline>
        </w:drawing>
      </w:r>
    </w:p>
    <w:tbl>
      <w:tblPr>
        <w:tblW w:w="5000" w:type="pct"/>
        <w:tblBorders>
          <w:top w:val="single" w:sz="12" w:space="0" w:color="AEAAAA"/>
          <w:left w:val="single" w:sz="12" w:space="0" w:color="AEAAAA"/>
          <w:bottom w:val="single" w:sz="12" w:space="0" w:color="AEAAAA"/>
          <w:right w:val="single" w:sz="12" w:space="0" w:color="AEAAAA"/>
          <w:insideH w:val="single" w:sz="8" w:space="0" w:color="AEAAAA"/>
        </w:tblBorders>
        <w:tblCellMar>
          <w:top w:w="72" w:type="dxa"/>
          <w:left w:w="72" w:type="dxa"/>
          <w:right w:w="72" w:type="dxa"/>
        </w:tblCellMar>
        <w:tblLook w:val="04A0" w:firstRow="1" w:lastRow="0" w:firstColumn="1" w:lastColumn="0" w:noHBand="0" w:noVBand="1"/>
      </w:tblPr>
      <w:tblGrid>
        <w:gridCol w:w="3233"/>
        <w:gridCol w:w="6097"/>
      </w:tblGrid>
      <w:tr w:rsidR="00297ED3" w14:paraId="237EE185" w14:textId="77777777">
        <w:trPr>
          <w:cantSplit/>
          <w:tblHeader/>
        </w:trPr>
        <w:tc>
          <w:tcPr>
            <w:tcW w:w="0" w:type="auto"/>
            <w:shd w:val="clear" w:color="auto" w:fill="F2F2F2"/>
          </w:tcPr>
          <w:p w14:paraId="16F6E898" w14:textId="77777777" w:rsidR="00297ED3" w:rsidRDefault="0000710E">
            <w:pPr>
              <w:pStyle w:val="Heading3"/>
            </w:pPr>
            <w:r>
              <w:t>Correct</w:t>
            </w:r>
          </w:p>
        </w:tc>
        <w:tc>
          <w:tcPr>
            <w:tcW w:w="6" w:type="auto"/>
            <w:shd w:val="clear" w:color="auto" w:fill="F2F2F2"/>
          </w:tcPr>
          <w:p w14:paraId="1945BD61" w14:textId="77777777" w:rsidR="00297ED3" w:rsidRDefault="0000710E">
            <w:pPr>
              <w:pStyle w:val="Heading3"/>
            </w:pPr>
            <w:r>
              <w:t>Choice</w:t>
            </w:r>
          </w:p>
        </w:tc>
      </w:tr>
      <w:tr w:rsidR="00297ED3" w14:paraId="5C4224D1" w14:textId="77777777">
        <w:tc>
          <w:tcPr>
            <w:tcW w:w="0" w:type="auto"/>
          </w:tcPr>
          <w:p w14:paraId="559E7665" w14:textId="77777777" w:rsidR="00297ED3" w:rsidRDefault="0000710E">
            <w:r>
              <w:t>X</w:t>
            </w:r>
          </w:p>
        </w:tc>
        <w:tc>
          <w:tcPr>
            <w:tcW w:w="0" w:type="auto"/>
          </w:tcPr>
          <w:p w14:paraId="3B30DAAE" w14:textId="77777777" w:rsidR="00297ED3" w:rsidRDefault="0000710E">
            <w:r>
              <w:t>Hearing notes</w:t>
            </w:r>
          </w:p>
        </w:tc>
      </w:tr>
      <w:tr w:rsidR="00297ED3" w14:paraId="7D651E9D" w14:textId="77777777">
        <w:tc>
          <w:tcPr>
            <w:tcW w:w="0" w:type="auto"/>
          </w:tcPr>
          <w:p w14:paraId="708B5D6F" w14:textId="77777777" w:rsidR="00297ED3" w:rsidRDefault="0000710E">
            <w:r>
              <w:t>X</w:t>
            </w:r>
          </w:p>
        </w:tc>
        <w:tc>
          <w:tcPr>
            <w:tcW w:w="0" w:type="auto"/>
          </w:tcPr>
          <w:p w14:paraId="2D8C60AA" w14:textId="77777777" w:rsidR="00297ED3" w:rsidRDefault="0000710E">
            <w:r>
              <w:t>Training pamphlet</w:t>
            </w:r>
          </w:p>
        </w:tc>
      </w:tr>
      <w:tr w:rsidR="00297ED3" w14:paraId="711FCC8D" w14:textId="77777777">
        <w:tc>
          <w:tcPr>
            <w:tcW w:w="0" w:type="auto"/>
          </w:tcPr>
          <w:p w14:paraId="2B546A77" w14:textId="77777777" w:rsidR="00297ED3" w:rsidRDefault="0000710E">
            <w:r>
              <w:t>X</w:t>
            </w:r>
          </w:p>
        </w:tc>
        <w:tc>
          <w:tcPr>
            <w:tcW w:w="0" w:type="auto"/>
          </w:tcPr>
          <w:p w14:paraId="608533C4" w14:textId="77777777" w:rsidR="00297ED3" w:rsidRDefault="0000710E">
            <w:r>
              <w:t>Institution policy</w:t>
            </w:r>
          </w:p>
        </w:tc>
      </w:tr>
      <w:tr w:rsidR="00297ED3" w14:paraId="4DB0C59F" w14:textId="77777777">
        <w:tc>
          <w:tcPr>
            <w:tcW w:w="0" w:type="auto"/>
          </w:tcPr>
          <w:p w14:paraId="6BF74211" w14:textId="77777777" w:rsidR="00297ED3" w:rsidRDefault="0000710E">
            <w:r>
              <w:t>X</w:t>
            </w:r>
          </w:p>
        </w:tc>
        <w:tc>
          <w:tcPr>
            <w:tcW w:w="0" w:type="auto"/>
          </w:tcPr>
          <w:p w14:paraId="07AE8854" w14:textId="77777777" w:rsidR="00297ED3" w:rsidRDefault="0000710E">
            <w:r>
              <w:t>Transcripts</w:t>
            </w:r>
          </w:p>
        </w:tc>
      </w:tr>
    </w:tbl>
    <w:p w14:paraId="119A4D11" w14:textId="77777777" w:rsidR="00297ED3" w:rsidRDefault="00297ED3"/>
    <w:p w14:paraId="678B32A8" w14:textId="77777777" w:rsidR="00297ED3" w:rsidRDefault="0000710E">
      <w:r>
        <w:rPr>
          <w:b/>
        </w:rPr>
        <w:t>Feedback when correct:</w:t>
      </w:r>
    </w:p>
    <w:p w14:paraId="62233AAF" w14:textId="77777777" w:rsidR="00297ED3" w:rsidRDefault="0000710E">
      <w:r>
        <w:t>That's right! You should keep all of these in a place where they can be easily found and shareable.</w:t>
      </w:r>
    </w:p>
    <w:p w14:paraId="7C8F3BBD" w14:textId="77777777" w:rsidR="00297ED3" w:rsidRDefault="00297ED3"/>
    <w:p w14:paraId="1DF3BEA5" w14:textId="77777777" w:rsidR="00297ED3" w:rsidRDefault="0000710E">
      <w:r>
        <w:rPr>
          <w:b/>
        </w:rPr>
        <w:t>Notes:</w:t>
      </w:r>
    </w:p>
    <w:p w14:paraId="6C715241" w14:textId="77777777" w:rsidR="0000710E" w:rsidRDefault="0000710E" w:rsidP="001E693D">
      <w:pPr>
        <w:widowControl w:val="0"/>
        <w:numPr>
          <w:ilvl w:val="0"/>
          <w:numId w:val="2"/>
        </w:numPr>
        <w:autoSpaceDE w:val="0"/>
        <w:autoSpaceDN w:val="0"/>
        <w:adjustRightInd w:val="0"/>
        <w:spacing w:after="0" w:line="240" w:lineRule="auto"/>
        <w:ind w:left="150" w:hanging="150"/>
        <w:rPr>
          <w:rFonts w:ascii="Microsoft Sans Serif" w:hAnsi="Microsoft Sans Serif" w:cs="Microsoft Sans Serif"/>
          <w:kern w:val="0"/>
          <w:sz w:val="17"/>
          <w:szCs w:val="17"/>
        </w:rPr>
      </w:pPr>
      <w:r>
        <w:rPr>
          <w:rFonts w:ascii="Open Sans" w:hAnsi="Open Sans" w:cs="Open Sans"/>
          <w:color w:val="000000"/>
          <w:kern w:val="0"/>
          <w:sz w:val="16"/>
          <w:szCs w:val="16"/>
        </w:rPr>
        <w:lastRenderedPageBreak/>
        <w:t xml:space="preserve">Knowledge check: Which of the following items would you be obligated to keep at least seven years, per the Title IX rule? </w:t>
      </w:r>
      <w:r>
        <w:rPr>
          <w:rFonts w:ascii="Open Sans" w:hAnsi="Open Sans" w:cs="Open Sans"/>
          <w:color w:val="000000"/>
          <w:kern w:val="0"/>
          <w:sz w:val="16"/>
          <w:szCs w:val="16"/>
        </w:rPr>
        <w:br/>
        <w:t xml:space="preserve">Notes taken during a hearing </w:t>
      </w:r>
      <w:r>
        <w:rPr>
          <w:rFonts w:ascii="Open Sans" w:hAnsi="Open Sans" w:cs="Open Sans"/>
          <w:color w:val="000000"/>
          <w:kern w:val="0"/>
          <w:sz w:val="16"/>
          <w:szCs w:val="16"/>
        </w:rPr>
        <w:br/>
      </w:r>
      <w:r>
        <w:rPr>
          <w:rFonts w:ascii="Open Sans" w:hAnsi="Open Sans" w:cs="Open Sans"/>
          <w:color w:val="000000"/>
          <w:kern w:val="0"/>
          <w:sz w:val="16"/>
          <w:szCs w:val="16"/>
        </w:rPr>
        <w:t xml:space="preserve">Pamphlet recruiting panelists for Title IX processes </w:t>
      </w:r>
      <w:r>
        <w:rPr>
          <w:rFonts w:ascii="Open Sans" w:hAnsi="Open Sans" w:cs="Open Sans"/>
          <w:color w:val="000000"/>
          <w:kern w:val="0"/>
          <w:sz w:val="16"/>
          <w:szCs w:val="16"/>
        </w:rPr>
        <w:br/>
        <w:t xml:space="preserve">A copy of your institutional code of conduct </w:t>
      </w:r>
      <w:r>
        <w:rPr>
          <w:rFonts w:ascii="Open Sans" w:hAnsi="Open Sans" w:cs="Open Sans"/>
          <w:color w:val="000000"/>
          <w:kern w:val="0"/>
          <w:sz w:val="16"/>
          <w:szCs w:val="16"/>
        </w:rPr>
        <w:br/>
        <w:t xml:space="preserve">Transcripts of audio recording from a Title IX hearing </w:t>
      </w:r>
    </w:p>
    <w:p w14:paraId="526D7DA0" w14:textId="77777777" w:rsidR="00297ED3" w:rsidRDefault="00297ED3"/>
    <w:p w14:paraId="4D794043" w14:textId="77777777" w:rsidR="00297ED3" w:rsidRDefault="0000710E">
      <w:pPr>
        <w:pStyle w:val="Heading2"/>
      </w:pPr>
      <w:r>
        <w:t>1.9 Conclusion</w:t>
      </w:r>
    </w:p>
    <w:p w14:paraId="3FA31BB6" w14:textId="77777777" w:rsidR="00297ED3" w:rsidRDefault="0000710E">
      <w:r>
        <w:rPr>
          <w:noProof/>
        </w:rPr>
        <w:drawing>
          <wp:inline distT="0" distB="0" distL="0" distR="0" wp14:anchorId="1F7D367B" wp14:editId="3363CC45">
            <wp:extent cx="3705225" cy="2781300"/>
            <wp:effectExtent l="0" t="0" r="9525" b="0"/>
            <wp:docPr id="9"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3705225" cy="2781300"/>
                    </a:xfrm>
                    <a:prstGeom prst="rect">
                      <a:avLst/>
                    </a:prstGeom>
                  </pic:spPr>
                </pic:pic>
              </a:graphicData>
            </a:graphic>
          </wp:inline>
        </w:drawing>
      </w:r>
    </w:p>
    <w:p w14:paraId="6F6AF8FE" w14:textId="77777777" w:rsidR="00297ED3" w:rsidRDefault="0000710E">
      <w:r>
        <w:rPr>
          <w:b/>
        </w:rPr>
        <w:t>Notes:</w:t>
      </w:r>
    </w:p>
    <w:p w14:paraId="66199308" w14:textId="77777777" w:rsidR="0000710E" w:rsidRDefault="0000710E">
      <w:pPr>
        <w:widowControl w:val="0"/>
        <w:autoSpaceDE w:val="0"/>
        <w:autoSpaceDN w:val="0"/>
        <w:adjustRightInd w:val="0"/>
        <w:spacing w:after="0" w:line="240" w:lineRule="auto"/>
        <w:rPr>
          <w:rFonts w:ascii="Open Sans" w:hAnsi="Open Sans" w:cs="Open Sans"/>
          <w:color w:val="000000"/>
          <w:kern w:val="0"/>
          <w:sz w:val="16"/>
          <w:szCs w:val="16"/>
        </w:rPr>
      </w:pPr>
      <w:r>
        <w:rPr>
          <w:rFonts w:ascii="Open Sans" w:hAnsi="Open Sans" w:cs="Open Sans"/>
          <w:color w:val="000000"/>
          <w:kern w:val="0"/>
          <w:sz w:val="16"/>
          <w:szCs w:val="16"/>
        </w:rPr>
        <w:t>In this course we learned about how to:</w:t>
      </w:r>
    </w:p>
    <w:p w14:paraId="7E2A892C" w14:textId="77777777" w:rsidR="0000710E" w:rsidRDefault="0000710E">
      <w:pPr>
        <w:widowControl w:val="0"/>
        <w:autoSpaceDE w:val="0"/>
        <w:autoSpaceDN w:val="0"/>
        <w:adjustRightInd w:val="0"/>
        <w:spacing w:after="0" w:line="240" w:lineRule="auto"/>
        <w:rPr>
          <w:rFonts w:ascii="Open Sans" w:hAnsi="Open Sans" w:cs="Open Sans"/>
          <w:color w:val="000000"/>
          <w:kern w:val="0"/>
          <w:sz w:val="16"/>
          <w:szCs w:val="16"/>
        </w:rPr>
      </w:pPr>
    </w:p>
    <w:p w14:paraId="40DD5312" w14:textId="77777777" w:rsidR="0000710E" w:rsidRDefault="0000710E">
      <w:pPr>
        <w:widowControl w:val="0"/>
        <w:autoSpaceDE w:val="0"/>
        <w:autoSpaceDN w:val="0"/>
        <w:adjustRightInd w:val="0"/>
        <w:spacing w:after="0" w:line="240" w:lineRule="auto"/>
        <w:rPr>
          <w:rFonts w:ascii="Open Sans" w:hAnsi="Open Sans" w:cs="Open Sans"/>
          <w:color w:val="000000"/>
          <w:kern w:val="0"/>
          <w:sz w:val="16"/>
          <w:szCs w:val="16"/>
        </w:rPr>
      </w:pPr>
      <w:r>
        <w:rPr>
          <w:rFonts w:ascii="Open Sans" w:hAnsi="Open Sans" w:cs="Open Sans"/>
          <w:color w:val="000000"/>
          <w:kern w:val="0"/>
          <w:sz w:val="16"/>
          <w:szCs w:val="16"/>
        </w:rPr>
        <w:t xml:space="preserve">Keep and maintain records pertaining to any investigation, appeal, informal resolution, or any other action related to sexual harassment. Also, maintain any training materials for Title IX coordinators, investigators, decision-makers, and any informal resolution facilitators (if that option is in use). </w:t>
      </w:r>
    </w:p>
    <w:p w14:paraId="05C8BD92" w14:textId="77777777" w:rsidR="0000710E" w:rsidRDefault="0000710E">
      <w:pPr>
        <w:widowControl w:val="0"/>
        <w:autoSpaceDE w:val="0"/>
        <w:autoSpaceDN w:val="0"/>
        <w:adjustRightInd w:val="0"/>
        <w:spacing w:after="0" w:line="240" w:lineRule="auto"/>
        <w:rPr>
          <w:rFonts w:ascii="Open Sans" w:hAnsi="Open Sans" w:cs="Open Sans"/>
          <w:color w:val="000000"/>
          <w:kern w:val="0"/>
          <w:sz w:val="16"/>
          <w:szCs w:val="16"/>
        </w:rPr>
      </w:pPr>
    </w:p>
    <w:p w14:paraId="011D5053" w14:textId="77777777" w:rsidR="0000710E" w:rsidRDefault="0000710E">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While there are many ways to maintain these records, ensure that these records are easily retrievable regardless of what an institution utilizes for storage. </w:t>
      </w:r>
    </w:p>
    <w:p w14:paraId="5C9F422A" w14:textId="77777777" w:rsidR="00297ED3" w:rsidRDefault="00297ED3"/>
    <w:p w14:paraId="64BA2012" w14:textId="77777777" w:rsidR="00297ED3" w:rsidRDefault="0000710E">
      <w:pPr>
        <w:pStyle w:val="Heading2"/>
      </w:pPr>
      <w:r>
        <w:lastRenderedPageBreak/>
        <w:t>1.10 Exit Slide</w:t>
      </w:r>
    </w:p>
    <w:p w14:paraId="536D3D89" w14:textId="77777777" w:rsidR="00297ED3" w:rsidRDefault="0000710E">
      <w:r>
        <w:rPr>
          <w:noProof/>
        </w:rPr>
        <w:drawing>
          <wp:inline distT="0" distB="0" distL="0" distR="0" wp14:anchorId="219FDA63" wp14:editId="4726A422">
            <wp:extent cx="3705225" cy="2781300"/>
            <wp:effectExtent l="0" t="0" r="0" b="0"/>
            <wp:docPr id="10" name="Slide image" descr="Exit slide with a &quot;Completed&quot; box indicating the end of module 16 &quot;Recordkeep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Exit slide with a &quot;Completed&quot; box indicating the end of module 16 &quot;Recordkeeping&quot;"/>
                    <pic:cNvPicPr/>
                  </pic:nvPicPr>
                  <pic:blipFill>
                    <a:blip r:embed="rId16" cstate="print"/>
                    <a:stretch>
                      <a:fillRect/>
                    </a:stretch>
                  </pic:blipFill>
                  <pic:spPr>
                    <a:xfrm>
                      <a:off x="0" y="0"/>
                      <a:ext cx="3705225" cy="2781300"/>
                    </a:xfrm>
                    <a:prstGeom prst="rect">
                      <a:avLst/>
                    </a:prstGeom>
                  </pic:spPr>
                </pic:pic>
              </a:graphicData>
            </a:graphic>
          </wp:inline>
        </w:drawing>
      </w:r>
    </w:p>
    <w:p w14:paraId="20DE994C" w14:textId="77777777" w:rsidR="00297ED3" w:rsidRDefault="0000710E">
      <w:r>
        <w:rPr>
          <w:b/>
        </w:rPr>
        <w:t>Notes:</w:t>
      </w:r>
    </w:p>
    <w:p w14:paraId="546D2061" w14:textId="77777777" w:rsidR="0000710E" w:rsidRDefault="0000710E">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You have reached the end of Training 17: Training Obligations. Next is Training 18: Intake and Formal Complaints. </w:t>
      </w:r>
      <w:r>
        <w:rPr>
          <w:rFonts w:ascii="Gotham Book" w:hAnsi="Gotham Book" w:cs="Gotham Book"/>
          <w:color w:val="000000"/>
          <w:kern w:val="0"/>
          <w:sz w:val="36"/>
          <w:szCs w:val="36"/>
        </w:rPr>
        <w:t xml:space="preserve">Select Exit Course to receive credit and go to the next training. </w:t>
      </w:r>
    </w:p>
    <w:p w14:paraId="79801129" w14:textId="77777777" w:rsidR="00297ED3" w:rsidRDefault="00297ED3"/>
    <w:sectPr w:rsidR="00297ED3">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B891C" w14:textId="77777777" w:rsidR="0000710E" w:rsidRDefault="0000710E" w:rsidP="00BF48BE">
      <w:pPr>
        <w:spacing w:after="0" w:line="240" w:lineRule="auto"/>
      </w:pPr>
      <w:r>
        <w:separator/>
      </w:r>
    </w:p>
  </w:endnote>
  <w:endnote w:type="continuationSeparator" w:id="0">
    <w:p w14:paraId="5314FAB3" w14:textId="77777777" w:rsidR="0000710E" w:rsidRDefault="0000710E"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panose1 w:val="00000000000000000000"/>
    <w:charset w:val="00"/>
    <w:family w:val="auto"/>
    <w:pitch w:val="variable"/>
    <w:sig w:usb0="E00002FF" w:usb1="4000201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Gotham Book">
    <w:panose1 w:val="00000000000000000000"/>
    <w:charset w:val="00"/>
    <w:family w:val="modern"/>
    <w:notTrueType/>
    <w:pitch w:val="variable"/>
    <w:sig w:usb0="A0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F142" w14:textId="77777777" w:rsidR="00BF48BE" w:rsidRDefault="0000710E" w:rsidP="00BF48BE">
    <w:pPr>
      <w:tabs>
        <w:tab w:val="center" w:pos="4320"/>
        <w:tab w:val="right" w:pos="8640"/>
      </w:tabs>
      <w:jc w:val="center"/>
      <w:rPr>
        <w:rFonts w:cs="Arial"/>
      </w:rPr>
    </w:pPr>
    <w:r>
      <w:rPr>
        <w:rFonts w:cs="Arial"/>
      </w:rPr>
      <w:pict w14:anchorId="617CCCB4">
        <v:rect id="_x0000_i1025" style="width:6in;height:1.5pt" o:hralign="center" o:hrstd="t" o:hr="t" fillcolor="#aca899" stroked="f"/>
      </w:pict>
    </w:r>
  </w:p>
  <w:p w14:paraId="1D3FA3C3" w14:textId="77777777" w:rsidR="00BF48BE" w:rsidRDefault="00BF48BE">
    <w:pPr>
      <w:pStyle w:val="Footer"/>
    </w:pPr>
  </w:p>
  <w:p w14:paraId="2BDA4235" w14:textId="77777777" w:rsidR="00297ED3" w:rsidRDefault="0000710E">
    <w:r>
      <w:t>Published by Articulate® Storyline www.articulate.com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54C0D" w14:textId="77777777" w:rsidR="0000710E" w:rsidRDefault="0000710E" w:rsidP="00BF48BE">
      <w:pPr>
        <w:spacing w:after="0" w:line="240" w:lineRule="auto"/>
      </w:pPr>
      <w:r>
        <w:separator/>
      </w:r>
    </w:p>
  </w:footnote>
  <w:footnote w:type="continuationSeparator" w:id="0">
    <w:p w14:paraId="1D5BF900" w14:textId="77777777" w:rsidR="0000710E" w:rsidRDefault="0000710E" w:rsidP="00BF48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4AB45060"/>
    <w:lvl w:ilvl="0">
      <w:numFmt w:val="bullet"/>
      <w:lvlText w:val="*"/>
      <w:lvlJc w:val="left"/>
    </w:lvl>
  </w:abstractNum>
  <w:abstractNum w:abstractNumId="1" w15:restartNumberingAfterBreak="0">
    <w:nsid w:val="3C4861DE"/>
    <w:multiLevelType w:val="singleLevel"/>
    <w:tmpl w:val="E8882688"/>
    <w:lvl w:ilvl="0">
      <w:start w:val="4"/>
      <w:numFmt w:val="decimal"/>
      <w:lvlText w:val="%1."/>
      <w:legacy w:legacy="1" w:legacySpace="0" w:legacyIndent="140"/>
      <w:lvlJc w:val="left"/>
      <w:rPr>
        <w:rFonts w:ascii="Open Sans" w:hAnsi="Open Sans" w:cs="Open Sans" w:hint="default"/>
      </w:rPr>
    </w:lvl>
  </w:abstractNum>
  <w:num w:numId="1" w16cid:durableId="2027126633">
    <w:abstractNumId w:val="0"/>
    <w:lvlOverride w:ilvl="0">
      <w:lvl w:ilvl="0">
        <w:numFmt w:val="bullet"/>
        <w:lvlText w:val=""/>
        <w:legacy w:legacy="1" w:legacySpace="0" w:legacyIndent="140"/>
        <w:lvlJc w:val="left"/>
        <w:rPr>
          <w:rFonts w:ascii="Symbol" w:hAnsi="Symbol" w:hint="default"/>
        </w:rPr>
      </w:lvl>
    </w:lvlOverride>
  </w:num>
  <w:num w:numId="2" w16cid:durableId="10332625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0710E"/>
    <w:rsid w:val="001E693D"/>
    <w:rsid w:val="00257CC5"/>
    <w:rsid w:val="00297ED3"/>
    <w:rsid w:val="003E3950"/>
    <w:rsid w:val="004D7311"/>
    <w:rsid w:val="005C12BE"/>
    <w:rsid w:val="00626EC1"/>
    <w:rsid w:val="0071130F"/>
    <w:rsid w:val="00745E41"/>
    <w:rsid w:val="007D446E"/>
    <w:rsid w:val="009459ED"/>
    <w:rsid w:val="00970988"/>
    <w:rsid w:val="00A01BE1"/>
    <w:rsid w:val="00A61E63"/>
    <w:rsid w:val="00B41668"/>
    <w:rsid w:val="00BF48BE"/>
    <w:rsid w:val="00C569C0"/>
    <w:rsid w:val="00D230B0"/>
    <w:rsid w:val="00D8333C"/>
    <w:rsid w:val="00E34F81"/>
    <w:rsid w:val="00E7115A"/>
    <w:rsid w:val="00EB52EF"/>
    <w:rsid w:val="00F34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1D43B2AC-D89F-4A87-A364-1BB151028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bin"/><Relationship Id="rId13" Type="http://schemas.openxmlformats.org/officeDocument/2006/relationships/image" Target="media/image7.bin"/><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bin"/><Relationship Id="rId12" Type="http://schemas.openxmlformats.org/officeDocument/2006/relationships/image" Target="media/image6.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bin"/><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bin"/><Relationship Id="rId5" Type="http://schemas.openxmlformats.org/officeDocument/2006/relationships/footnotes" Target="footnotes.xml"/><Relationship Id="rId15" Type="http://schemas.openxmlformats.org/officeDocument/2006/relationships/image" Target="media/image9.bin"/><Relationship Id="rId10" Type="http://schemas.openxmlformats.org/officeDocument/2006/relationships/image" Target="media/image4.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bin"/><Relationship Id="rId14" Type="http://schemas.openxmlformats.org/officeDocument/2006/relationships/image" Target="media/image8.bin"/><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DEE80A15E8428BF7116FB6EA3FC9" ma:contentTypeVersion="24" ma:contentTypeDescription="Create a new document." ma:contentTypeScope="" ma:versionID="03e17897ba9f09b52cc8bbf56ea4ec22">
  <xsd:schema xmlns:xsd="http://www.w3.org/2001/XMLSchema" xmlns:xs="http://www.w3.org/2001/XMLSchema" xmlns:p="http://schemas.microsoft.com/office/2006/metadata/properties" xmlns:ns2="d53ffc77-9570-416f-b8ce-97d7c6acbadf" xmlns:ns3="77c3fc14-2e30-4e40-8eeb-3b52cfee7462" targetNamespace="http://schemas.microsoft.com/office/2006/metadata/properties" ma:root="true" ma:fieldsID="3e6ec5b12ba50b43e35a5cdab7752b75" ns2:_="" ns3:_="">
    <xsd:import namespace="d53ffc77-9570-416f-b8ce-97d7c6acbadf"/>
    <xsd:import namespace="77c3fc14-2e30-4e40-8eeb-3b52cfee7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CalendarYear" minOccurs="0"/>
                <xsd:element ref="ns2:PresenterO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ffc77-9570-416f-b8ce-97d7c6acb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4558b3-4b7e-402e-a6c9-1417db9941b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alendarYear" ma:index="27" nillable="true" ma:displayName="Calendar Year" ma:format="Dropdown" ma:internalName="CalendarYear">
      <xsd:simpleType>
        <xsd:restriction base="dms:Text">
          <xsd:maxLength value="255"/>
        </xsd:restriction>
      </xsd:simpleType>
    </xsd:element>
    <xsd:element name="PresenterORG" ma:index="28" nillable="true" ma:displayName="Presenter ORG" ma:format="Dropdown" ma:internalName="PresenterOR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3fc14-2e30-4e40-8eeb-3b52cfee74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219e5c-395d-45d9-bf8c-5b248b101e56}" ma:internalName="TaxCatchAll" ma:showField="CatchAllData" ma:web="77c3fc14-2e30-4e40-8eeb-3b52cfee7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senterORG xmlns="d53ffc77-9570-416f-b8ce-97d7c6acbadf" xsi:nil="true"/>
    <TaxCatchAll xmlns="77c3fc14-2e30-4e40-8eeb-3b52cfee7462" xsi:nil="true"/>
    <CalendarYear xmlns="d53ffc77-9570-416f-b8ce-97d7c6acbadf" xsi:nil="true"/>
    <lcf76f155ced4ddcb4097134ff3c332f xmlns="d53ffc77-9570-416f-b8ce-97d7c6acba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EC51FA8-AFB4-41EC-9D0F-706475BB5563}"/>
</file>

<file path=customXml/itemProps2.xml><?xml version="1.0" encoding="utf-8"?>
<ds:datastoreItem xmlns:ds="http://schemas.openxmlformats.org/officeDocument/2006/customXml" ds:itemID="{F2F26B15-8568-4069-975E-A8E15835E185}"/>
</file>

<file path=customXml/itemProps3.xml><?xml version="1.0" encoding="utf-8"?>
<ds:datastoreItem xmlns:ds="http://schemas.openxmlformats.org/officeDocument/2006/customXml" ds:itemID="{E719151D-3E46-4706-8D3A-342A6D4E9CFD}"/>
</file>

<file path=docProps/app.xml><?xml version="1.0" encoding="utf-8"?>
<Properties xmlns="http://schemas.openxmlformats.org/officeDocument/2006/extended-properties" xmlns:vt="http://schemas.openxmlformats.org/officeDocument/2006/docPropsVTypes">
  <Template>Normal</Template>
  <TotalTime>0</TotalTime>
  <Pages>8</Pages>
  <Words>674</Words>
  <Characters>3843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Articulate</dc:creator>
  <cp:keywords/>
  <dc:description/>
  <cp:lastModifiedBy>Gottung, Lindsay</cp:lastModifiedBy>
  <cp:revision>2</cp:revision>
  <dcterms:created xsi:type="dcterms:W3CDTF">2026-05-28T18:51:00Z</dcterms:created>
  <dcterms:modified xsi:type="dcterms:W3CDTF">2026-05-28T18:51:00Z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0x010100B1F9DEE80A15E8428BF7116FB6EA3FC9</vt:lpwstr>
  </property>
</Properties>
</file>