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Training Obligations</w:t>
      </w:r>
    </w:p>
    <w:p w14:paraId="6277CAD0" w14:textId="77777777" w:rsidR="009A21AE" w:rsidRDefault="008E457F">
      <w:pPr>
        <w:pStyle w:val="Heading1"/>
      </w:pPr>
      <w:r>
        <w:t>1. Intro Scene</w:t>
      </w:r>
    </w:p>
    <w:p w14:paraId="28AC6CF3" w14:textId="77777777" w:rsidR="009A21AE" w:rsidRDefault="008E457F">
      <w:pPr>
        <w:pStyle w:val="Heading2"/>
      </w:pPr>
      <w:r>
        <w:t>1.1 Training Obligations</w:t>
      </w:r>
    </w:p>
    <w:p w14:paraId="79DC6284" w14:textId="77777777" w:rsidR="009A21AE" w:rsidRDefault="008E457F">
      <w:r>
        <w:rPr>
          <w:noProof/>
        </w:rPr>
        <w:drawing>
          <wp:inline distT="0" distB="0" distL="0" distR="0" wp14:anchorId="39A7BE45" wp14:editId="0D66BE85">
            <wp:extent cx="3705225" cy="2781300"/>
            <wp:effectExtent l="0" t="0" r="0" b="0"/>
            <wp:docPr id="1" name="Slide image" descr="Introductory slide titled &quot;Training Obligations,&quot; indicating the beginning of modu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Training Obligations,&quot; indicating the beginning of module 17"/>
                    <pic:cNvPicPr/>
                  </pic:nvPicPr>
                  <pic:blipFill>
                    <a:blip r:embed="rId7" cstate="print"/>
                    <a:stretch>
                      <a:fillRect/>
                    </a:stretch>
                  </pic:blipFill>
                  <pic:spPr>
                    <a:xfrm>
                      <a:off x="0" y="0"/>
                      <a:ext cx="3705225" cy="2781300"/>
                    </a:xfrm>
                    <a:prstGeom prst="rect">
                      <a:avLst/>
                    </a:prstGeom>
                  </pic:spPr>
                </pic:pic>
              </a:graphicData>
            </a:graphic>
          </wp:inline>
        </w:drawing>
      </w:r>
    </w:p>
    <w:p w14:paraId="16BC63A8" w14:textId="77777777" w:rsidR="009A21AE" w:rsidRDefault="008E457F">
      <w:r>
        <w:rPr>
          <w:b/>
        </w:rPr>
        <w:t>Notes:</w:t>
      </w:r>
    </w:p>
    <w:p w14:paraId="1C7BACF0"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[Upbeat music]</w:t>
      </w:r>
    </w:p>
    <w:p w14:paraId="38C66426" w14:textId="77777777" w:rsidR="009A21AE" w:rsidRDefault="009A21AE"/>
    <w:p w14:paraId="2DFCD54E" w14:textId="77777777" w:rsidR="009A21AE" w:rsidRDefault="008E457F">
      <w:pPr>
        <w:pStyle w:val="Heading2"/>
      </w:pPr>
      <w:r>
        <w:lastRenderedPageBreak/>
        <w:t>1.2 Disclaimer</w:t>
      </w:r>
    </w:p>
    <w:p w14:paraId="578FE076" w14:textId="77777777" w:rsidR="009A21AE" w:rsidRDefault="008E457F">
      <w:r>
        <w:rPr>
          <w:noProof/>
        </w:rPr>
        <w:drawing>
          <wp:inline distT="0" distB="0" distL="0" distR="0" wp14:anchorId="733B419E" wp14:editId="4277D09A">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8" cstate="print"/>
                    <a:stretch>
                      <a:fillRect/>
                    </a:stretch>
                  </pic:blipFill>
                  <pic:spPr>
                    <a:xfrm>
                      <a:off x="0" y="0"/>
                      <a:ext cx="3705225" cy="2781300"/>
                    </a:xfrm>
                    <a:prstGeom prst="rect">
                      <a:avLst/>
                    </a:prstGeom>
                  </pic:spPr>
                </pic:pic>
              </a:graphicData>
            </a:graphic>
          </wp:inline>
        </w:drawing>
      </w:r>
    </w:p>
    <w:p w14:paraId="45A2E183" w14:textId="77777777" w:rsidR="009A21AE" w:rsidRDefault="008E457F">
      <w:r>
        <w:rPr>
          <w:b/>
        </w:rPr>
        <w:t>Notes:</w:t>
      </w:r>
    </w:p>
    <w:p w14:paraId="72C45A0A"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Gotham Book" w:hAnsi="Gotham Book" w:cs="Gotham Book"/>
          <w:color w:val="000000"/>
          <w:kern w:val="0"/>
          <w:sz w:val="16"/>
          <w:szCs w:val="16"/>
        </w:rPr>
        <w:t>All trainings and resources offered by the SUNY Student Conduct Institute (SCI) are the property of the State University of New York and may not be shared or duplicated without express written authorization from SCI or as required by law. SCI trainings and resources are intended to provide educational content and advise on general compliance, as applicable. SCI training and resources shall not constitute legal advice  or legal opinions on specific circumstances, and do not create an attorney-client relation</w:t>
      </w:r>
      <w:r>
        <w:rPr>
          <w:rFonts w:ascii="Gotham Book" w:hAnsi="Gotham Book" w:cs="Gotham Book"/>
          <w:color w:val="000000"/>
          <w:kern w:val="0"/>
          <w:sz w:val="16"/>
          <w:szCs w:val="16"/>
        </w:rPr>
        <w:t xml:space="preserve">ship. Please consult with your own attorney or campus counsel to obtain advice regarding all matters specific to your institution.  </w:t>
      </w:r>
    </w:p>
    <w:p w14:paraId="71BF398D" w14:textId="77777777" w:rsidR="009A21AE" w:rsidRDefault="009A21AE"/>
    <w:p w14:paraId="500FC33E" w14:textId="77777777" w:rsidR="009A21AE" w:rsidRDefault="008E457F">
      <w:pPr>
        <w:pStyle w:val="Heading2"/>
      </w:pPr>
      <w:r>
        <w:t>1.3 Which Roles Need Training?</w:t>
      </w:r>
    </w:p>
    <w:p w14:paraId="07C20675" w14:textId="77777777" w:rsidR="009A21AE" w:rsidRDefault="008E457F">
      <w:r>
        <w:rPr>
          <w:noProof/>
        </w:rPr>
        <w:drawing>
          <wp:inline distT="0" distB="0" distL="0" distR="0" wp14:anchorId="43514176" wp14:editId="307538AA">
            <wp:extent cx="3705225" cy="2781300"/>
            <wp:effectExtent l="0" t="0" r="0" b="0"/>
            <wp:docPr id="3" name="Slide image" descr="Presentation slide titled &quot;Which Roles Need Training?&quot; with four specific roles listed underneath that include Title IX Coordinators, Investigators, Decision-Makers, and Informal Resolution Facilit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Presentation slide titled &quot;Which Roles Need Training?&quot; with four specific roles listed underneath that include Title IX Coordinators, Investigators, Decision-Makers, and Informal Resolution Facilitators. "/>
                    <pic:cNvPicPr/>
                  </pic:nvPicPr>
                  <pic:blipFill>
                    <a:blip r:embed="rId9" cstate="print"/>
                    <a:stretch>
                      <a:fillRect/>
                    </a:stretch>
                  </pic:blipFill>
                  <pic:spPr>
                    <a:xfrm>
                      <a:off x="0" y="0"/>
                      <a:ext cx="3705225" cy="2781300"/>
                    </a:xfrm>
                    <a:prstGeom prst="rect">
                      <a:avLst/>
                    </a:prstGeom>
                  </pic:spPr>
                </pic:pic>
              </a:graphicData>
            </a:graphic>
          </wp:inline>
        </w:drawing>
      </w:r>
    </w:p>
    <w:p w14:paraId="397E5D51" w14:textId="77777777" w:rsidR="009A21AE" w:rsidRDefault="008E457F">
      <w:r>
        <w:rPr>
          <w:b/>
        </w:rPr>
        <w:lastRenderedPageBreak/>
        <w:t>Notes:</w:t>
      </w:r>
    </w:p>
    <w:p w14:paraId="51DEA454"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There are other obligations for the Title IX Coordinator beyond the oversight of a grievance process. The Coordinator is also responsible for the training of employees responsible for various stages of the process. This includes the Title IX Coordinator themselves and their deputies, any decision-makers, investigators, and facilitators of the informal resolution process should your institution choose to utilize an informal option for resolution.  </w:t>
      </w:r>
      <w:r>
        <w:rPr>
          <w:rFonts w:ascii="Open Sans" w:hAnsi="Open Sans" w:cs="Open Sans"/>
          <w:color w:val="000000"/>
          <w:kern w:val="0"/>
          <w:sz w:val="16"/>
          <w:szCs w:val="16"/>
        </w:rPr>
        <w:br/>
        <w:t xml:space="preserve">In this course, we will review these obligations and how Title IX coordinators can fulfill them. These trainings can be delegated to other individuals or deputies, but the Title IX Coordinator will be ultimately responsible for compliance in the areas. </w:t>
      </w:r>
    </w:p>
    <w:p w14:paraId="65531B0E" w14:textId="77777777" w:rsidR="009A21AE" w:rsidRDefault="009A21AE"/>
    <w:p w14:paraId="4041E18C" w14:textId="77777777" w:rsidR="009A21AE" w:rsidRDefault="008E457F">
      <w:pPr>
        <w:pStyle w:val="Heading2"/>
      </w:pPr>
      <w:r>
        <w:t>1.4 Training</w:t>
      </w:r>
    </w:p>
    <w:p w14:paraId="3A767C32" w14:textId="77777777" w:rsidR="009A21AE" w:rsidRDefault="008E457F">
      <w:r>
        <w:rPr>
          <w:noProof/>
        </w:rPr>
        <w:drawing>
          <wp:inline distT="0" distB="0" distL="0" distR="0" wp14:anchorId="1F491779" wp14:editId="7E6457D0">
            <wp:extent cx="3705225" cy="2781300"/>
            <wp:effectExtent l="0" t="0" r="0" b="0"/>
            <wp:docPr id="4" name="Slide image" descr="Presentation slide titled &quot;Training,&quot; with bullet points listing what each role should be trained on. These bullet points include the definition of sexual harassment (106.30), the scope of an institution's education program or activities, and issues of relevance for both questions and evidence. These trainings must include the rape shield protection, must be impartial, must not rely on sex stereotypes, and must promote informal investigation and adjudications of formal complaints of sexual hara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Presentation slide titled &quot;Training,&quot; with bullet points listing what each role should be trained on. These bullet points include the definition of sexual harassment (106.30), the scope of an institution's education program or activities, and issues of relevance for both questions and evidence. These trainings must include the rape shield protection, must be impartial, must not rely on sex stereotypes, and must promote informal investigation and adjudications of formal complaints of sexual harassment.  "/>
                    <pic:cNvPicPr/>
                  </pic:nvPicPr>
                  <pic:blipFill>
                    <a:blip r:embed="rId10" cstate="print"/>
                    <a:stretch>
                      <a:fillRect/>
                    </a:stretch>
                  </pic:blipFill>
                  <pic:spPr>
                    <a:xfrm>
                      <a:off x="0" y="0"/>
                      <a:ext cx="3705225" cy="2781300"/>
                    </a:xfrm>
                    <a:prstGeom prst="rect">
                      <a:avLst/>
                    </a:prstGeom>
                  </pic:spPr>
                </pic:pic>
              </a:graphicData>
            </a:graphic>
          </wp:inline>
        </w:drawing>
      </w:r>
    </w:p>
    <w:p w14:paraId="6E8756D0" w14:textId="77777777" w:rsidR="009A21AE" w:rsidRDefault="008E457F">
      <w:r>
        <w:rPr>
          <w:b/>
        </w:rPr>
        <w:t>Notes:</w:t>
      </w:r>
    </w:p>
    <w:p w14:paraId="3CB21D5A"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Let’s start with reviewing the subjects that every role in the Title IX process are required to receive training for. Each of the roles identified must be trained on: </w:t>
      </w:r>
      <w:r>
        <w:rPr>
          <w:rFonts w:ascii="Open Sans" w:hAnsi="Open Sans" w:cs="Open Sans"/>
          <w:color w:val="000000"/>
          <w:kern w:val="0"/>
          <w:sz w:val="16"/>
          <w:szCs w:val="16"/>
        </w:rPr>
        <w:br/>
        <w:t xml:space="preserve">The definition of sexual harassment (106.30) </w:t>
      </w:r>
      <w:r>
        <w:rPr>
          <w:rFonts w:ascii="Open Sans" w:hAnsi="Open Sans" w:cs="Open Sans"/>
          <w:color w:val="000000"/>
          <w:kern w:val="0"/>
          <w:sz w:val="16"/>
          <w:szCs w:val="16"/>
        </w:rPr>
        <w:br/>
        <w:t xml:space="preserve">The scope of an institution’s educational programs or activities </w:t>
      </w:r>
      <w:r>
        <w:rPr>
          <w:rFonts w:ascii="Open Sans" w:hAnsi="Open Sans" w:cs="Open Sans"/>
          <w:color w:val="000000"/>
          <w:kern w:val="0"/>
          <w:sz w:val="16"/>
          <w:szCs w:val="16"/>
        </w:rPr>
        <w:br/>
        <w:t xml:space="preserve">Issues of relevance for both questions and evidence </w:t>
      </w:r>
      <w:r>
        <w:rPr>
          <w:rFonts w:ascii="Open Sans" w:hAnsi="Open Sans" w:cs="Open Sans"/>
          <w:color w:val="000000"/>
          <w:kern w:val="0"/>
          <w:sz w:val="16"/>
          <w:szCs w:val="16"/>
        </w:rPr>
        <w:br/>
        <w:t>Includes the rape shield protection</w:t>
      </w:r>
      <w:r>
        <w:rPr>
          <w:rFonts w:ascii="Open Sans" w:hAnsi="Open Sans" w:cs="Open Sans"/>
          <w:color w:val="000000"/>
          <w:kern w:val="0"/>
          <w:sz w:val="16"/>
          <w:szCs w:val="16"/>
        </w:rPr>
        <w:br/>
        <w:t xml:space="preserve">How to serve impartially, including avoiding prejudgment of the facts at issue, conflicts of interest and bias </w:t>
      </w:r>
      <w:r>
        <w:rPr>
          <w:rFonts w:ascii="Open Sans" w:hAnsi="Open Sans" w:cs="Open Sans"/>
          <w:color w:val="000000"/>
          <w:kern w:val="0"/>
          <w:sz w:val="16"/>
          <w:szCs w:val="16"/>
        </w:rPr>
        <w:br/>
        <w:t xml:space="preserve">Furthermore, none of the trainings may rely on sex stereotypes, and must promote informal investigations and adjudications of formal complaints of sexual harassment. </w:t>
      </w:r>
    </w:p>
    <w:p w14:paraId="181CE6E1" w14:textId="77777777" w:rsidR="009A21AE" w:rsidRDefault="009A21AE"/>
    <w:p w14:paraId="27D20FC5" w14:textId="77777777" w:rsidR="009A21AE" w:rsidRDefault="008E457F">
      <w:pPr>
        <w:pStyle w:val="Heading2"/>
      </w:pPr>
      <w:r>
        <w:lastRenderedPageBreak/>
        <w:t>1.5 Title IX Coordinator Training</w:t>
      </w:r>
    </w:p>
    <w:p w14:paraId="40B3BDBA" w14:textId="77777777" w:rsidR="009A21AE" w:rsidRDefault="008E457F">
      <w:r>
        <w:rPr>
          <w:noProof/>
        </w:rPr>
        <w:drawing>
          <wp:inline distT="0" distB="0" distL="0" distR="0" wp14:anchorId="52163AFF" wp14:editId="58C31970">
            <wp:extent cx="3705225" cy="2781300"/>
            <wp:effectExtent l="0" t="0" r="0" b="0"/>
            <wp:docPr id="5" name="Slide image" descr="Slide titled &quot;Title IX Coordinator Training,&quot; with bullet points about what Title IX Coordinators need to be trained on. These options include how to conduct an investigation, technology that would be used in a hearing, how to conduct a grievance process (including hearings, appeals, and informal resolutions if necessary), and issues of relevance in the creation of an investigati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Title IX Coordinator Training,&quot; with bullet points about what Title IX Coordinators need to be trained on. These options include how to conduct an investigation, technology that would be used in a hearing, how to conduct a grievance process (including hearings, appeals, and informal resolutions if necessary), and issues of relevance in the creation of an investigative report"/>
                    <pic:cNvPicPr/>
                  </pic:nvPicPr>
                  <pic:blipFill>
                    <a:blip r:embed="rId11" cstate="print"/>
                    <a:stretch>
                      <a:fillRect/>
                    </a:stretch>
                  </pic:blipFill>
                  <pic:spPr>
                    <a:xfrm>
                      <a:off x="0" y="0"/>
                      <a:ext cx="3705225" cy="2781300"/>
                    </a:xfrm>
                    <a:prstGeom prst="rect">
                      <a:avLst/>
                    </a:prstGeom>
                  </pic:spPr>
                </pic:pic>
              </a:graphicData>
            </a:graphic>
          </wp:inline>
        </w:drawing>
      </w:r>
    </w:p>
    <w:p w14:paraId="4A825526" w14:textId="77777777" w:rsidR="009A21AE" w:rsidRDefault="008E457F">
      <w:r>
        <w:rPr>
          <w:b/>
        </w:rPr>
        <w:t>Notes:</w:t>
      </w:r>
    </w:p>
    <w:p w14:paraId="2EC9FD1C" w14:textId="77777777" w:rsidR="008E457F" w:rsidRDefault="008E457F" w:rsidP="00EA45BD">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Title IX Coordinators are additionally required to be trained on: </w:t>
      </w:r>
      <w:r>
        <w:rPr>
          <w:rFonts w:ascii="Open Sans" w:hAnsi="Open Sans" w:cs="Open Sans"/>
          <w:color w:val="000000"/>
          <w:kern w:val="0"/>
          <w:sz w:val="16"/>
          <w:szCs w:val="16"/>
        </w:rPr>
        <w:br/>
        <w:t xml:space="preserve">How to conduct an investigation, </w:t>
      </w:r>
      <w:r>
        <w:rPr>
          <w:rFonts w:ascii="Open Sans" w:hAnsi="Open Sans" w:cs="Open Sans"/>
          <w:color w:val="000000"/>
          <w:kern w:val="0"/>
          <w:sz w:val="16"/>
          <w:szCs w:val="16"/>
        </w:rPr>
        <w:br/>
        <w:t xml:space="preserve">The technology that would be used in a live hearing, </w:t>
      </w:r>
      <w:r>
        <w:rPr>
          <w:rFonts w:ascii="Open Sans" w:hAnsi="Open Sans" w:cs="Open Sans"/>
          <w:color w:val="000000"/>
          <w:kern w:val="0"/>
          <w:sz w:val="16"/>
          <w:szCs w:val="16"/>
        </w:rPr>
        <w:br/>
      </w:r>
      <w:r>
        <w:rPr>
          <w:rFonts w:ascii="Open Sans" w:hAnsi="Open Sans" w:cs="Open Sans"/>
          <w:color w:val="000000"/>
          <w:kern w:val="0"/>
          <w:sz w:val="16"/>
          <w:szCs w:val="16"/>
        </w:rPr>
        <w:t xml:space="preserve">How to conduct a grievance process, including hearings, appeals, and informal resolutions (if using), and </w:t>
      </w:r>
      <w:r>
        <w:rPr>
          <w:rFonts w:ascii="Open Sans" w:hAnsi="Open Sans" w:cs="Open Sans"/>
          <w:color w:val="000000"/>
          <w:kern w:val="0"/>
          <w:sz w:val="16"/>
          <w:szCs w:val="16"/>
        </w:rPr>
        <w:br/>
        <w:t xml:space="preserve">Issues of relevance in the creation of an investigative report. </w:t>
      </w:r>
    </w:p>
    <w:p w14:paraId="15FFE9C6" w14:textId="77777777" w:rsidR="009A21AE" w:rsidRDefault="009A21AE"/>
    <w:p w14:paraId="15B8192A" w14:textId="77777777" w:rsidR="009A21AE" w:rsidRDefault="008E457F">
      <w:pPr>
        <w:pStyle w:val="Heading2"/>
      </w:pPr>
      <w:r>
        <w:t>1.6 Decision-makers Training</w:t>
      </w:r>
    </w:p>
    <w:p w14:paraId="52AA17A1" w14:textId="77777777" w:rsidR="009A21AE" w:rsidRDefault="008E457F">
      <w:r>
        <w:rPr>
          <w:noProof/>
        </w:rPr>
        <w:drawing>
          <wp:inline distT="0" distB="0" distL="0" distR="0" wp14:anchorId="39E231C3" wp14:editId="1A095A30">
            <wp:extent cx="3705225" cy="2781300"/>
            <wp:effectExtent l="0" t="0" r="0" b="0"/>
            <wp:docPr id="6" name="Slide image" descr="Slide titled &quot;Decision-makers Training,&quot; with bullet points about what Title IX Coordinators, decision-makers should also be trained on. These options include technology that would be used in a live hearing, and how to conduct a grievance policy (including hearings, appeals, and informal resolutions, if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Slide titled &quot;Decision-makers Training,&quot; with bullet points about what Title IX Coordinators, decision-makers should also be trained on. These options include technology that would be used in a live hearing, and how to conduct a grievance policy (including hearings, appeals, and informal resolutions, if necessary)"/>
                    <pic:cNvPicPr/>
                  </pic:nvPicPr>
                  <pic:blipFill>
                    <a:blip r:embed="rId12" cstate="print"/>
                    <a:stretch>
                      <a:fillRect/>
                    </a:stretch>
                  </pic:blipFill>
                  <pic:spPr>
                    <a:xfrm>
                      <a:off x="0" y="0"/>
                      <a:ext cx="3705225" cy="2781300"/>
                    </a:xfrm>
                    <a:prstGeom prst="rect">
                      <a:avLst/>
                    </a:prstGeom>
                  </pic:spPr>
                </pic:pic>
              </a:graphicData>
            </a:graphic>
          </wp:inline>
        </w:drawing>
      </w:r>
    </w:p>
    <w:p w14:paraId="62595E3E" w14:textId="77777777" w:rsidR="009A21AE" w:rsidRDefault="008E457F">
      <w:r>
        <w:rPr>
          <w:b/>
        </w:rPr>
        <w:t>Notes:</w:t>
      </w:r>
    </w:p>
    <w:p w14:paraId="25DBE130" w14:textId="77777777" w:rsidR="008E457F" w:rsidRDefault="008E457F" w:rsidP="00EA45BD">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 xml:space="preserve">Decisionmakers are additionally required to be trained on: </w:t>
      </w:r>
      <w:r>
        <w:rPr>
          <w:rFonts w:ascii="Open Sans" w:hAnsi="Open Sans" w:cs="Open Sans"/>
          <w:color w:val="000000"/>
          <w:kern w:val="0"/>
          <w:sz w:val="16"/>
          <w:szCs w:val="16"/>
        </w:rPr>
        <w:br/>
        <w:t xml:space="preserve">The technology that would be used in a live hearing, and </w:t>
      </w:r>
      <w:r>
        <w:rPr>
          <w:rFonts w:ascii="Open Sans" w:hAnsi="Open Sans" w:cs="Open Sans"/>
          <w:color w:val="000000"/>
          <w:kern w:val="0"/>
          <w:sz w:val="16"/>
          <w:szCs w:val="16"/>
        </w:rPr>
        <w:br/>
        <w:t>How to conduct a grieva</w:t>
      </w:r>
      <w:r>
        <w:rPr>
          <w:rFonts w:ascii="Open Sans" w:hAnsi="Open Sans" w:cs="Open Sans"/>
          <w:color w:val="000000"/>
          <w:kern w:val="0"/>
          <w:sz w:val="16"/>
          <w:szCs w:val="16"/>
        </w:rPr>
        <w:t xml:space="preserve">nce process, including hearings, appeals, and informal resolutions (if using). </w:t>
      </w:r>
    </w:p>
    <w:p w14:paraId="7F5ABDA2" w14:textId="77777777" w:rsidR="009A21AE" w:rsidRDefault="009A21AE"/>
    <w:p w14:paraId="5729EFD4" w14:textId="77777777" w:rsidR="009A21AE" w:rsidRDefault="008E457F">
      <w:pPr>
        <w:pStyle w:val="Heading2"/>
      </w:pPr>
      <w:r>
        <w:t>1.7 Investigators Training</w:t>
      </w:r>
    </w:p>
    <w:p w14:paraId="7EE27B24" w14:textId="77777777" w:rsidR="009A21AE" w:rsidRDefault="008E457F">
      <w:r>
        <w:rPr>
          <w:noProof/>
        </w:rPr>
        <w:drawing>
          <wp:inline distT="0" distB="0" distL="0" distR="0" wp14:anchorId="359BD99C" wp14:editId="6D95A765">
            <wp:extent cx="3705225" cy="2781300"/>
            <wp:effectExtent l="0" t="0" r="0" b="0"/>
            <wp:docPr id="7" name="Slide image" descr="Slide titled &quot;Investigators Training,&quot; with bullet points about what trainings investigators must take. These options include, how to conduct an investigation, and issues of relevance in the creation of an investigative report. Underneath the bullet points, there is a note that says &quot;if an institution is utilizing a single-investigator model, where the investigator also serves as a decision-maker, then they would also require training on the same topics as the decision-mak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led &quot;Investigators Training,&quot; with bullet points about what trainings investigators must take. These options include, how to conduct an investigation, and issues of relevance in the creation of an investigative report. Underneath the bullet points, there is a note that says &quot;if an institution is utilizing a single-investigator model, where the investigator also serves as a decision-maker, then they would also require training on the same topics as the decision-maker&quot;"/>
                    <pic:cNvPicPr/>
                  </pic:nvPicPr>
                  <pic:blipFill>
                    <a:blip r:embed="rId13" cstate="print"/>
                    <a:stretch>
                      <a:fillRect/>
                    </a:stretch>
                  </pic:blipFill>
                  <pic:spPr>
                    <a:xfrm>
                      <a:off x="0" y="0"/>
                      <a:ext cx="3705225" cy="2781300"/>
                    </a:xfrm>
                    <a:prstGeom prst="rect">
                      <a:avLst/>
                    </a:prstGeom>
                  </pic:spPr>
                </pic:pic>
              </a:graphicData>
            </a:graphic>
          </wp:inline>
        </w:drawing>
      </w:r>
    </w:p>
    <w:p w14:paraId="519B2031" w14:textId="77777777" w:rsidR="009A21AE" w:rsidRDefault="008E457F">
      <w:r>
        <w:rPr>
          <w:b/>
        </w:rPr>
        <w:t>Notes:</w:t>
      </w:r>
    </w:p>
    <w:p w14:paraId="369739A1"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Investigators are additionally required to be trained on: </w:t>
      </w:r>
      <w:r>
        <w:rPr>
          <w:rFonts w:ascii="Open Sans" w:hAnsi="Open Sans" w:cs="Open Sans"/>
          <w:color w:val="000000"/>
          <w:kern w:val="0"/>
          <w:sz w:val="16"/>
          <w:szCs w:val="16"/>
        </w:rPr>
        <w:br/>
        <w:t xml:space="preserve">How to conduct an investigation, and </w:t>
      </w:r>
      <w:r>
        <w:rPr>
          <w:rFonts w:ascii="Open Sans" w:hAnsi="Open Sans" w:cs="Open Sans"/>
          <w:color w:val="000000"/>
          <w:kern w:val="0"/>
          <w:sz w:val="16"/>
          <w:szCs w:val="16"/>
        </w:rPr>
        <w:br/>
        <w:t xml:space="preserve">Issues of relevance in the creation of an investigative report. </w:t>
      </w:r>
      <w:r>
        <w:rPr>
          <w:rFonts w:ascii="Open Sans" w:hAnsi="Open Sans" w:cs="Open Sans"/>
          <w:color w:val="000000"/>
          <w:kern w:val="0"/>
          <w:sz w:val="16"/>
          <w:szCs w:val="16"/>
        </w:rPr>
        <w:br/>
        <w:t xml:space="preserve">Furthermore, if an institution is utilizing a single-investigator model, where the investigator ALSO serves as a decision-maker, then they would also be required to be trained on the same topics as the decision-maker. </w:t>
      </w:r>
    </w:p>
    <w:p w14:paraId="628AB864" w14:textId="77777777" w:rsidR="009A21AE" w:rsidRDefault="009A21AE"/>
    <w:p w14:paraId="7ED0CB89" w14:textId="77777777" w:rsidR="009A21AE" w:rsidRDefault="008E457F">
      <w:pPr>
        <w:pStyle w:val="Heading2"/>
      </w:pPr>
      <w:r>
        <w:lastRenderedPageBreak/>
        <w:t>1.8 Informal Resolution Facilitators</w:t>
      </w:r>
    </w:p>
    <w:p w14:paraId="2B1D4699" w14:textId="77777777" w:rsidR="009A21AE" w:rsidRDefault="008E457F">
      <w:r>
        <w:rPr>
          <w:noProof/>
        </w:rPr>
        <w:drawing>
          <wp:inline distT="0" distB="0" distL="0" distR="0" wp14:anchorId="36F8125C" wp14:editId="2B3D0AEE">
            <wp:extent cx="3705225" cy="2781300"/>
            <wp:effectExtent l="0" t="0" r="0" b="0"/>
            <wp:docPr id="8" name="Slide image" descr="Slide titled &quot;Informal Resolution Facilitators,&quot; with an explanation which states that &quot;facilitators are required to be trained on processed, including the various options under the informal resolution,&quot; with three options underneath. The options are administrative reviews, restorative justice, and 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led &quot;Informal Resolution Facilitators,&quot; with an explanation which states that &quot;facilitators are required to be trained on processed, including the various options under the informal resolution,&quot; with three options underneath. The options are administrative reviews, restorative justice, and mediation"/>
                    <pic:cNvPicPr/>
                  </pic:nvPicPr>
                  <pic:blipFill>
                    <a:blip r:embed="rId14" cstate="print"/>
                    <a:stretch>
                      <a:fillRect/>
                    </a:stretch>
                  </pic:blipFill>
                  <pic:spPr>
                    <a:xfrm>
                      <a:off x="0" y="0"/>
                      <a:ext cx="3705225" cy="2781300"/>
                    </a:xfrm>
                    <a:prstGeom prst="rect">
                      <a:avLst/>
                    </a:prstGeom>
                  </pic:spPr>
                </pic:pic>
              </a:graphicData>
            </a:graphic>
          </wp:inline>
        </w:drawing>
      </w:r>
    </w:p>
    <w:p w14:paraId="1D2A30EE" w14:textId="77777777" w:rsidR="009A21AE" w:rsidRDefault="008E457F">
      <w:r>
        <w:rPr>
          <w:b/>
        </w:rPr>
        <w:t>Notes:</w:t>
      </w:r>
    </w:p>
    <w:p w14:paraId="6118C599"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Finally, if your institution chooses to utilize an informal resolution option for Title IX complaints, facilitators of the process are required to be trained on those processes, including the various options available for informal resolution. These include, but are not limited to: administrative reviews, mediation, and restorative justice.</w:t>
      </w:r>
    </w:p>
    <w:p w14:paraId="0E61757F" w14:textId="77777777" w:rsidR="009A21AE" w:rsidRDefault="009A21AE"/>
    <w:p w14:paraId="4BE546BA" w14:textId="77777777" w:rsidR="009A21AE" w:rsidRDefault="008E457F">
      <w:pPr>
        <w:pStyle w:val="Heading2"/>
      </w:pPr>
      <w:r>
        <w:t>1.9 NY-129 B Requirement</w:t>
      </w:r>
    </w:p>
    <w:p w14:paraId="35D73340" w14:textId="77777777" w:rsidR="009A21AE" w:rsidRDefault="008E457F">
      <w:r>
        <w:rPr>
          <w:noProof/>
        </w:rPr>
        <w:drawing>
          <wp:inline distT="0" distB="0" distL="0" distR="0" wp14:anchorId="65E52158" wp14:editId="20E5C393">
            <wp:extent cx="3705225" cy="2781300"/>
            <wp:effectExtent l="0" t="0" r="0" b="0"/>
            <wp:docPr id="9" name="Slide image" descr="Slide titled &quot;NY-129 B Requirement,&quot; with two bullet points underneath that explains that NYS requires the use of a specific definition of consent and that administrators should be comfortable and familiar with this definition of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 titled &quot;NY-129 B Requirement,&quot; with two bullet points underneath that explains that NYS requires the use of a specific definition of consent and that administrators should be comfortable and familiar with this definition of consent"/>
                    <pic:cNvPicPr/>
                  </pic:nvPicPr>
                  <pic:blipFill>
                    <a:blip r:embed="rId15" cstate="print"/>
                    <a:stretch>
                      <a:fillRect/>
                    </a:stretch>
                  </pic:blipFill>
                  <pic:spPr>
                    <a:xfrm>
                      <a:off x="0" y="0"/>
                      <a:ext cx="3705225" cy="2781300"/>
                    </a:xfrm>
                    <a:prstGeom prst="rect">
                      <a:avLst/>
                    </a:prstGeom>
                  </pic:spPr>
                </pic:pic>
              </a:graphicData>
            </a:graphic>
          </wp:inline>
        </w:drawing>
      </w:r>
    </w:p>
    <w:p w14:paraId="1BD5E463" w14:textId="77777777" w:rsidR="009A21AE" w:rsidRDefault="008E457F">
      <w:r>
        <w:rPr>
          <w:b/>
        </w:rPr>
        <w:t>Notes:</w:t>
      </w:r>
    </w:p>
    <w:p w14:paraId="57FD983F"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There are some additional requirements for training per the NY 129 B legislation. This does not apply to institutions located </w:t>
      </w:r>
      <w:r>
        <w:rPr>
          <w:rFonts w:ascii="Open Sans" w:hAnsi="Open Sans" w:cs="Open Sans"/>
          <w:color w:val="000000"/>
          <w:kern w:val="0"/>
          <w:sz w:val="16"/>
          <w:szCs w:val="16"/>
        </w:rPr>
        <w:lastRenderedPageBreak/>
        <w:t xml:space="preserve">outside of New York state. New York institutions are also required to utilize the specific definition of consent identified in the consent course. Administrators responsible for a part of the Title IX grievance process should be comfortable and familiar with this definition of consent. </w:t>
      </w:r>
    </w:p>
    <w:p w14:paraId="36C67D8E" w14:textId="77777777" w:rsidR="009A21AE" w:rsidRDefault="009A21AE"/>
    <w:p w14:paraId="77CB942A" w14:textId="77777777" w:rsidR="009A21AE" w:rsidRDefault="008E457F">
      <w:pPr>
        <w:pStyle w:val="Heading2"/>
      </w:pPr>
      <w:r>
        <w:t>1.10 End of Training Obligations</w:t>
      </w:r>
    </w:p>
    <w:p w14:paraId="57FFF875" w14:textId="77777777" w:rsidR="009A21AE" w:rsidRDefault="008E457F">
      <w:r>
        <w:rPr>
          <w:noProof/>
        </w:rPr>
        <w:drawing>
          <wp:inline distT="0" distB="0" distL="0" distR="0" wp14:anchorId="223D2994" wp14:editId="17FA2903">
            <wp:extent cx="3705225" cy="2781300"/>
            <wp:effectExtent l="0" t="0" r="0" b="0"/>
            <wp:docPr id="10" name="Slide image" descr="Conclusion slide titled &quot;End of Training Obligations,&quot; with a &quot;Completed&quot; text box, indicating the end of module 17: Training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Conclusion slide titled &quot;End of Training Obligations,&quot; with a &quot;Completed&quot; text box, indicating the end of module 17: Training Obligations"/>
                    <pic:cNvPicPr/>
                  </pic:nvPicPr>
                  <pic:blipFill>
                    <a:blip r:embed="rId16" cstate="print"/>
                    <a:stretch>
                      <a:fillRect/>
                    </a:stretch>
                  </pic:blipFill>
                  <pic:spPr>
                    <a:xfrm>
                      <a:off x="0" y="0"/>
                      <a:ext cx="3705225" cy="2781300"/>
                    </a:xfrm>
                    <a:prstGeom prst="rect">
                      <a:avLst/>
                    </a:prstGeom>
                  </pic:spPr>
                </pic:pic>
              </a:graphicData>
            </a:graphic>
          </wp:inline>
        </w:drawing>
      </w:r>
    </w:p>
    <w:p w14:paraId="11EB7B3F" w14:textId="77777777" w:rsidR="009A21AE" w:rsidRDefault="008E457F">
      <w:r>
        <w:rPr>
          <w:b/>
        </w:rPr>
        <w:t>Notes:</w:t>
      </w:r>
    </w:p>
    <w:p w14:paraId="0656B0F9" w14:textId="77777777" w:rsidR="008E457F" w:rsidRDefault="008E457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You have reached the end of Training Obligations. Next is Intake and Formal Complaints. Select Exit Course to receive credit and go to the next training. </w:t>
      </w:r>
    </w:p>
    <w:p w14:paraId="46CFFB5A" w14:textId="77777777" w:rsidR="009A21AE" w:rsidRDefault="009A21AE"/>
    <w:sectPr w:rsidR="009A21A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A1AEE" w14:textId="77777777" w:rsidR="008E457F" w:rsidRDefault="008E457F" w:rsidP="00BF48BE">
      <w:pPr>
        <w:spacing w:after="0" w:line="240" w:lineRule="auto"/>
      </w:pPr>
      <w:r>
        <w:separator/>
      </w:r>
    </w:p>
  </w:endnote>
  <w:endnote w:type="continuationSeparator" w:id="0">
    <w:p w14:paraId="478CAB1A" w14:textId="77777777" w:rsidR="008E457F" w:rsidRDefault="008E457F"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Open Sans">
    <w:panose1 w:val="00000000000000000000"/>
    <w:charset w:val="00"/>
    <w:family w:val="auto"/>
    <w:pitch w:val="variable"/>
    <w:sig w:usb0="E00002FF" w:usb1="4000201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 w:name="Gotham Book">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8E457F"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5433CE22" w14:textId="77777777" w:rsidR="009A21AE" w:rsidRDefault="008E457F">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6F456" w14:textId="77777777" w:rsidR="008E457F" w:rsidRDefault="008E457F" w:rsidP="00BF48BE">
      <w:pPr>
        <w:spacing w:after="0" w:line="240" w:lineRule="auto"/>
      </w:pPr>
      <w:r>
        <w:separator/>
      </w:r>
    </w:p>
  </w:footnote>
  <w:footnote w:type="continuationSeparator" w:id="0">
    <w:p w14:paraId="7AEE28EB" w14:textId="77777777" w:rsidR="008E457F" w:rsidRDefault="008E457F"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682C220"/>
    <w:lvl w:ilvl="0">
      <w:numFmt w:val="bullet"/>
      <w:lvlText w:val="*"/>
      <w:lvlJc w:val="left"/>
    </w:lvl>
  </w:abstractNum>
  <w:num w:numId="1" w16cid:durableId="16008073">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30138"/>
    <w:rsid w:val="00257CC5"/>
    <w:rsid w:val="00433ECB"/>
    <w:rsid w:val="004D7311"/>
    <w:rsid w:val="005C12BE"/>
    <w:rsid w:val="00626EC1"/>
    <w:rsid w:val="00745E41"/>
    <w:rsid w:val="00884458"/>
    <w:rsid w:val="008A22C2"/>
    <w:rsid w:val="008E457F"/>
    <w:rsid w:val="009459ED"/>
    <w:rsid w:val="00970988"/>
    <w:rsid w:val="009A21AE"/>
    <w:rsid w:val="00B33F5A"/>
    <w:rsid w:val="00BF48BE"/>
    <w:rsid w:val="00D466C5"/>
    <w:rsid w:val="00D82440"/>
    <w:rsid w:val="00D8333C"/>
    <w:rsid w:val="00E34F81"/>
    <w:rsid w:val="00E7115A"/>
    <w:rsid w:val="00E74C5E"/>
    <w:rsid w:val="00EA45BD"/>
    <w:rsid w:val="00EB5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64A4EEB9-8997-45A8-BA29-6E3CD8EA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bin"/><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5" Type="http://schemas.openxmlformats.org/officeDocument/2006/relationships/footnotes" Target="footnotes.xml"/><Relationship Id="rId15" Type="http://schemas.openxmlformats.org/officeDocument/2006/relationships/image" Target="media/image9.bin"/><Relationship Id="rId10" Type="http://schemas.openxmlformats.org/officeDocument/2006/relationships/image" Target="media/image4.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95D4CF-0967-4B90-9BA7-5DDCD57B4810}"/>
</file>

<file path=customXml/itemProps2.xml><?xml version="1.0" encoding="utf-8"?>
<ds:datastoreItem xmlns:ds="http://schemas.openxmlformats.org/officeDocument/2006/customXml" ds:itemID="{77548CDE-6CB8-4DDE-81AB-2746992DB5A3}"/>
</file>

<file path=customXml/itemProps3.xml><?xml version="1.0" encoding="utf-8"?>
<ds:datastoreItem xmlns:ds="http://schemas.openxmlformats.org/officeDocument/2006/customXml" ds:itemID="{5367E0D8-BE1F-4512-AD42-35AC32D792B2}"/>
</file>

<file path=docProps/app.xml><?xml version="1.0" encoding="utf-8"?>
<Properties xmlns="http://schemas.openxmlformats.org/officeDocument/2006/extended-properties" xmlns:vt="http://schemas.openxmlformats.org/officeDocument/2006/docPropsVTypes">
  <Template>Normal</Template>
  <TotalTime>0</TotalTime>
  <Pages>7</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2026-05-28T19:50:00Z</dcterms:created>
  <dcterms:modified xsi:type="dcterms:W3CDTF">2026-05-28T19:50:00Z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